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145D9" w14:textId="77777777" w:rsidR="002322E8" w:rsidRPr="004336FD" w:rsidRDefault="00D676D6" w:rsidP="00E54A32">
      <w:pPr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4336FD">
        <w:rPr>
          <w:rFonts w:ascii="Arial" w:hAnsi="Arial" w:cs="Arial"/>
          <w:b/>
          <w:sz w:val="22"/>
          <w:szCs w:val="22"/>
          <w:lang w:val="es-ES"/>
        </w:rPr>
        <w:t>Ley 2195 de 2022</w:t>
      </w:r>
    </w:p>
    <w:p w14:paraId="6D81719E" w14:textId="77777777" w:rsidR="00E54A32" w:rsidRPr="004336FD" w:rsidRDefault="00E54A32" w:rsidP="00E54A32">
      <w:pPr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14:paraId="19F0A7CC" w14:textId="77777777" w:rsidR="00D676D6" w:rsidRPr="004336FD" w:rsidRDefault="00D676D6" w:rsidP="00E54A32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4061F814" w14:textId="77777777" w:rsidR="00D676D6" w:rsidRPr="004336FD" w:rsidRDefault="00D676D6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  <w:r w:rsidRPr="004336FD">
        <w:rPr>
          <w:rFonts w:ascii="Arial" w:eastAsia="Times New Roman" w:hAnsi="Arial" w:cs="Arial"/>
          <w:b/>
          <w:sz w:val="22"/>
          <w:szCs w:val="22"/>
          <w:shd w:val="clear" w:color="auto" w:fill="FFFFFF"/>
          <w:lang w:eastAsia="es-ES_tradnl"/>
        </w:rPr>
        <w:t>OBJETO:</w:t>
      </w: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 xml:space="preserve"> </w:t>
      </w:r>
      <w:r w:rsidRPr="00D676D6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adoptar disposiciones tendientes a prevenir los actos de corrupción, a reforzar la articulación y coordinación de las entidades del Estado y a recuperar los daños ocasionados por dichos actos con el fin de asegurar promover la cultura de la legalidad e integridad y recuperar la confianza ciudadana y el respeto por lo público.</w:t>
      </w:r>
    </w:p>
    <w:p w14:paraId="0976EF3C" w14:textId="77777777" w:rsidR="00E54A32" w:rsidRPr="004336FD" w:rsidRDefault="00E54A32" w:rsidP="00E54A32">
      <w:pPr>
        <w:rPr>
          <w:rFonts w:ascii="Times New Roman" w:eastAsia="Times New Roman" w:hAnsi="Times New Roman" w:cs="Times New Roman"/>
          <w:b/>
          <w:lang w:eastAsia="es-ES_tradnl"/>
        </w:rPr>
      </w:pPr>
      <w:r w:rsidRPr="004336FD">
        <w:rPr>
          <w:rFonts w:ascii="Arial" w:eastAsia="Times New Roman" w:hAnsi="Arial" w:cs="Arial"/>
          <w:b/>
          <w:sz w:val="22"/>
          <w:szCs w:val="22"/>
          <w:shd w:val="clear" w:color="auto" w:fill="FFFFFF"/>
          <w:lang w:eastAsia="es-ES_tradnl"/>
        </w:rPr>
        <w:t xml:space="preserve">ENTIDAD QUE LA EXPIDE: </w:t>
      </w:r>
      <w:r w:rsidRPr="004336FD">
        <w:rPr>
          <w:rFonts w:ascii="Arial" w:eastAsia="Times New Roman" w:hAnsi="Arial" w:cs="Arial"/>
          <w:bCs/>
          <w:sz w:val="22"/>
          <w:szCs w:val="22"/>
          <w:shd w:val="clear" w:color="auto" w:fill="FFFFFF"/>
          <w:lang w:eastAsia="es-ES_tradnl"/>
        </w:rPr>
        <w:t>EL CONGRESO DE LA REPUBLICA</w:t>
      </w:r>
    </w:p>
    <w:p w14:paraId="32C48DB7" w14:textId="77777777" w:rsidR="00E54A32" w:rsidRPr="004336FD" w:rsidRDefault="00E54A32" w:rsidP="00E54A32">
      <w:pPr>
        <w:jc w:val="both"/>
        <w:rPr>
          <w:rFonts w:ascii="Arial" w:eastAsia="Times New Roman" w:hAnsi="Arial" w:cs="Arial"/>
          <w:b/>
          <w:sz w:val="22"/>
          <w:szCs w:val="22"/>
          <w:shd w:val="clear" w:color="auto" w:fill="FFFFFF"/>
          <w:lang w:eastAsia="es-ES_tradnl"/>
        </w:rPr>
      </w:pPr>
    </w:p>
    <w:p w14:paraId="397D72CF" w14:textId="77777777" w:rsidR="00BE11BC" w:rsidRPr="004336FD" w:rsidRDefault="00E54A32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  <w:r w:rsidRPr="004336FD">
        <w:rPr>
          <w:rFonts w:ascii="Arial" w:eastAsia="Times New Roman" w:hAnsi="Arial" w:cs="Arial"/>
          <w:b/>
          <w:sz w:val="22"/>
          <w:szCs w:val="22"/>
          <w:shd w:val="clear" w:color="auto" w:fill="FFFFFF"/>
          <w:lang w:eastAsia="es-ES_tradnl"/>
        </w:rPr>
        <w:t>VIGENCIA</w:t>
      </w: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: a partir del 18 de enero de 2022</w:t>
      </w:r>
    </w:p>
    <w:p w14:paraId="1CAA3410" w14:textId="77777777" w:rsidR="00E54A32" w:rsidRPr="004336FD" w:rsidRDefault="00E54A32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</w:p>
    <w:p w14:paraId="489BFA84" w14:textId="51B4C97A" w:rsidR="00BE11BC" w:rsidRPr="004336FD" w:rsidRDefault="0085715A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bCs/>
          <w:sz w:val="22"/>
          <w:szCs w:val="22"/>
        </w:rPr>
        <w:t xml:space="preserve"> El </w:t>
      </w:r>
      <w:r w:rsidR="00BE11BC" w:rsidRPr="004336FD">
        <w:rPr>
          <w:rFonts w:ascii="Arial" w:hAnsi="Arial" w:cs="Arial"/>
          <w:bCs/>
          <w:sz w:val="22"/>
          <w:szCs w:val="22"/>
        </w:rPr>
        <w:t>ARTÍCULO</w:t>
      </w:r>
      <w:bookmarkStart w:id="0" w:name="9"/>
      <w:bookmarkEnd w:id="0"/>
      <w:r w:rsidR="004336FD" w:rsidRPr="004336FD">
        <w:rPr>
          <w:rFonts w:ascii="Arial" w:hAnsi="Arial" w:cs="Arial"/>
          <w:bCs/>
          <w:sz w:val="22"/>
          <w:szCs w:val="22"/>
        </w:rPr>
        <w:t> 9</w:t>
      </w:r>
      <w:r w:rsidR="00BE11BC" w:rsidRPr="004336FD">
        <w:rPr>
          <w:rFonts w:ascii="Arial" w:hAnsi="Arial" w:cs="Arial"/>
          <w:sz w:val="22"/>
          <w:szCs w:val="22"/>
        </w:rPr>
        <w:t> </w:t>
      </w:r>
      <w:r w:rsidRPr="004336FD">
        <w:rPr>
          <w:rFonts w:ascii="Arial" w:hAnsi="Arial" w:cs="Arial"/>
          <w:sz w:val="22"/>
          <w:szCs w:val="22"/>
        </w:rPr>
        <w:t xml:space="preserve"> De la presente ley Adicionó </w:t>
      </w:r>
      <w:r w:rsidR="00BE11BC" w:rsidRPr="004336FD">
        <w:rPr>
          <w:rFonts w:ascii="Arial" w:hAnsi="Arial" w:cs="Arial"/>
          <w:sz w:val="22"/>
          <w:szCs w:val="22"/>
        </w:rPr>
        <w:t xml:space="preserve"> el Artículo </w:t>
      </w:r>
      <w:hyperlink r:id="rId4" w:anchor="34-7" w:history="1">
        <w:r w:rsidR="00BE11BC" w:rsidRPr="004336FD">
          <w:rPr>
            <w:rStyle w:val="Hipervnculo"/>
            <w:rFonts w:ascii="Arial" w:hAnsi="Arial" w:cs="Arial"/>
            <w:color w:val="auto"/>
            <w:sz w:val="22"/>
            <w:szCs w:val="22"/>
            <w:u w:val="none"/>
          </w:rPr>
          <w:t>34-7</w:t>
        </w:r>
      </w:hyperlink>
      <w:r w:rsidR="00BE11BC" w:rsidRPr="004336FD">
        <w:rPr>
          <w:rFonts w:ascii="Arial" w:hAnsi="Arial" w:cs="Arial"/>
          <w:sz w:val="22"/>
          <w:szCs w:val="22"/>
        </w:rPr>
        <w:t> a la Ley </w:t>
      </w:r>
      <w:hyperlink r:id="rId5" w:anchor="0" w:history="1">
        <w:r w:rsidR="00BE11BC" w:rsidRPr="004336FD">
          <w:rPr>
            <w:rStyle w:val="Hipervnculo"/>
            <w:rFonts w:ascii="Arial" w:hAnsi="Arial" w:cs="Arial"/>
            <w:color w:val="auto"/>
            <w:sz w:val="22"/>
            <w:szCs w:val="22"/>
            <w:u w:val="none"/>
          </w:rPr>
          <w:t>1474</w:t>
        </w:r>
      </w:hyperlink>
      <w:r w:rsidRPr="004336FD">
        <w:rPr>
          <w:rFonts w:ascii="Arial" w:hAnsi="Arial" w:cs="Arial"/>
          <w:sz w:val="22"/>
          <w:szCs w:val="22"/>
        </w:rPr>
        <w:t xml:space="preserve"> de 2011, el cual trata lo correspondiente a  los </w:t>
      </w:r>
      <w:r w:rsidR="00BE11BC" w:rsidRPr="004336FD">
        <w:rPr>
          <w:rFonts w:ascii="Arial" w:hAnsi="Arial" w:cs="Arial"/>
          <w:sz w:val="22"/>
          <w:szCs w:val="22"/>
        </w:rPr>
        <w:t>PROGRAMAS DE TRANSPARENCIA Y ETICA EMPRESARIAL.</w:t>
      </w:r>
    </w:p>
    <w:p w14:paraId="22E67658" w14:textId="77777777" w:rsidR="00BE11BC" w:rsidRPr="004336FD" w:rsidRDefault="00BE11BC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sz w:val="22"/>
          <w:szCs w:val="22"/>
        </w:rPr>
        <w:t>Las personas jurídicas sujetas a su inspección, vigilancia o control adoptaran programas de transparencia y ética empresarial que incluyan mecanismos y normas internas de auditoria.</w:t>
      </w:r>
    </w:p>
    <w:p w14:paraId="7E56C004" w14:textId="77777777" w:rsidR="00BE11BC" w:rsidRPr="004336FD" w:rsidRDefault="00BE11BC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sz w:val="22"/>
          <w:szCs w:val="22"/>
        </w:rPr>
        <w:t>Las respectivas superintendencias o autoridades de inspección, vigilancia o control determinaran el contenido de los programas de transparencia y ética empresarial teniendo en cuenta criterios tales como el sector, los riesgos del mismo, el monto de los activos, ingresos, el número de empleados y objeto social.</w:t>
      </w:r>
    </w:p>
    <w:p w14:paraId="6111668B" w14:textId="77777777" w:rsidR="00BE11BC" w:rsidRPr="004336FD" w:rsidRDefault="00BE11BC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sz w:val="22"/>
          <w:szCs w:val="22"/>
        </w:rPr>
        <w:t xml:space="preserve">En el caso de las Pymes y </w:t>
      </w:r>
      <w:proofErr w:type="spellStart"/>
      <w:r w:rsidRPr="004336FD">
        <w:rPr>
          <w:rFonts w:ascii="Arial" w:hAnsi="Arial" w:cs="Arial"/>
          <w:sz w:val="22"/>
          <w:szCs w:val="22"/>
        </w:rPr>
        <w:t>Mipymes</w:t>
      </w:r>
      <w:proofErr w:type="spellEnd"/>
      <w:r w:rsidRPr="004336FD">
        <w:rPr>
          <w:rFonts w:ascii="Arial" w:hAnsi="Arial" w:cs="Arial"/>
          <w:sz w:val="22"/>
          <w:szCs w:val="22"/>
        </w:rPr>
        <w:t>, se deberán establecer programas de acompañamiento para facilitar la elaboración e implementación de los programas de transparencia y ética empresarial, procurando que no generen costos o tramites adicionales para las mismas.</w:t>
      </w:r>
    </w:p>
    <w:p w14:paraId="7397BD88" w14:textId="77777777" w:rsidR="00BE11BC" w:rsidRPr="004336FD" w:rsidRDefault="00BE11BC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sz w:val="22"/>
          <w:szCs w:val="22"/>
        </w:rPr>
        <w:t>El incumplimiento de las instrucciones y ordenes que impartan las autoridades de inspección, vigilancia y control de la rama ejecutiva en materia de programas transparencia y ética empresarial dará lugar a la imposición de las sanciones que correspondan de conformidad con las normas aplicables por cada ente de inspección, vigilancia o control.</w:t>
      </w:r>
    </w:p>
    <w:p w14:paraId="1F4EFED9" w14:textId="77777777" w:rsidR="00BE11BC" w:rsidRPr="004336FD" w:rsidRDefault="00BE11BC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b/>
          <w:bCs/>
          <w:sz w:val="22"/>
          <w:szCs w:val="22"/>
        </w:rPr>
        <w:t>PARAGRAFO</w:t>
      </w:r>
      <w:bookmarkStart w:id="1" w:name="34-7.pt1"/>
      <w:bookmarkEnd w:id="1"/>
      <w:r w:rsidRPr="004336FD">
        <w:rPr>
          <w:rFonts w:ascii="Arial" w:hAnsi="Arial" w:cs="Arial"/>
          <w:b/>
          <w:bCs/>
          <w:sz w:val="22"/>
          <w:szCs w:val="22"/>
        </w:rPr>
        <w:t> 1.</w:t>
      </w:r>
      <w:r w:rsidRPr="004336FD">
        <w:rPr>
          <w:rFonts w:ascii="Arial" w:hAnsi="Arial" w:cs="Arial"/>
          <w:sz w:val="22"/>
          <w:szCs w:val="22"/>
        </w:rPr>
        <w:t> En aquellas personas jurídicas en las que se tenga implementado</w:t>
      </w:r>
    </w:p>
    <w:p w14:paraId="349388CC" w14:textId="77777777" w:rsidR="00BE11BC" w:rsidRPr="004336FD" w:rsidRDefault="00BE11BC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sz w:val="22"/>
          <w:szCs w:val="22"/>
        </w:rPr>
        <w:t>un sistema integral de administración de riesgos, este podrá articularse con el programa de transparencia y ética empresarial de forma tal que incluya los riesgos que mediante el mismo se pretenden mitigar.</w:t>
      </w:r>
    </w:p>
    <w:p w14:paraId="1AF3DC45" w14:textId="77777777" w:rsidR="00BE11BC" w:rsidRPr="004336FD" w:rsidRDefault="00BE11BC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b/>
          <w:bCs/>
          <w:sz w:val="22"/>
          <w:szCs w:val="22"/>
        </w:rPr>
        <w:t>PARAGRAFO</w:t>
      </w:r>
      <w:bookmarkStart w:id="2" w:name="34-7.pt2"/>
      <w:bookmarkEnd w:id="2"/>
      <w:r w:rsidRPr="004336FD">
        <w:rPr>
          <w:rFonts w:ascii="Arial" w:hAnsi="Arial" w:cs="Arial"/>
          <w:b/>
          <w:bCs/>
          <w:sz w:val="22"/>
          <w:szCs w:val="22"/>
        </w:rPr>
        <w:t> 2.</w:t>
      </w:r>
      <w:r w:rsidRPr="004336FD">
        <w:rPr>
          <w:rFonts w:ascii="Arial" w:hAnsi="Arial" w:cs="Arial"/>
          <w:sz w:val="22"/>
          <w:szCs w:val="22"/>
        </w:rPr>
        <w:t> Las superintendencias o autoridades de inspección, vigilancia o control de la rama ejecutiva en coordinación con la Secretaria de Transparencia de la Presidencia de la Republica, determinaran los lineamientos mínimos que deben prever los programas de transparencia y ética empresarial con el fin estandarizar las acciones, las políticas, los métodos, procedimientos, mecanismos de prevención, control, evaluación y de mejoramiento continuo. Dichos lineamientos serán evaluados y actualizados, de conformidad con los estándares internacionales y nuevas prácticas que fortalezcan los programas de transparencia y ética empresarial, al menos cada cuatro (4) años.</w:t>
      </w:r>
    </w:p>
    <w:p w14:paraId="1855F499" w14:textId="77777777" w:rsidR="00BE11BC" w:rsidRPr="004336FD" w:rsidRDefault="00BE11BC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b/>
          <w:bCs/>
          <w:sz w:val="22"/>
          <w:szCs w:val="22"/>
        </w:rPr>
        <w:t>PARAGRAFO</w:t>
      </w:r>
      <w:bookmarkStart w:id="3" w:name="34-7.pt3"/>
      <w:bookmarkEnd w:id="3"/>
      <w:r w:rsidRPr="004336FD">
        <w:rPr>
          <w:rFonts w:ascii="Arial" w:hAnsi="Arial" w:cs="Arial"/>
          <w:b/>
          <w:bCs/>
          <w:sz w:val="22"/>
          <w:szCs w:val="22"/>
        </w:rPr>
        <w:t> 3.</w:t>
      </w:r>
      <w:r w:rsidRPr="004336FD">
        <w:rPr>
          <w:rFonts w:ascii="Arial" w:hAnsi="Arial" w:cs="Arial"/>
          <w:sz w:val="22"/>
          <w:szCs w:val="22"/>
        </w:rPr>
        <w:t> Los encargados de las auditorias o control interno de las personas jurídicas obligadas deberán incluir en su plan anual de auditoria la verificación del cumplimiento y eficacia de los programas de transparencia y ética empresarial.</w:t>
      </w:r>
    </w:p>
    <w:p w14:paraId="34954788" w14:textId="77777777" w:rsidR="00BE11BC" w:rsidRPr="004336FD" w:rsidRDefault="00BE11BC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b/>
          <w:bCs/>
          <w:sz w:val="22"/>
          <w:szCs w:val="22"/>
        </w:rPr>
        <w:lastRenderedPageBreak/>
        <w:t>PARAGRAFO</w:t>
      </w:r>
      <w:bookmarkStart w:id="4" w:name="34-7.pt4"/>
      <w:bookmarkEnd w:id="4"/>
      <w:r w:rsidRPr="004336FD">
        <w:rPr>
          <w:rFonts w:ascii="Arial" w:hAnsi="Arial" w:cs="Arial"/>
          <w:b/>
          <w:bCs/>
          <w:sz w:val="22"/>
          <w:szCs w:val="22"/>
        </w:rPr>
        <w:t> 4.</w:t>
      </w:r>
      <w:r w:rsidRPr="004336FD">
        <w:rPr>
          <w:rFonts w:ascii="Arial" w:hAnsi="Arial" w:cs="Arial"/>
          <w:sz w:val="22"/>
          <w:szCs w:val="22"/>
        </w:rPr>
        <w:t> El revisor fiscal, cuando se tuviere, debe valorar los programas de transparencia y ética empresarial y emitir opinión sobre los mismos.</w:t>
      </w:r>
    </w:p>
    <w:p w14:paraId="5DE5FDDA" w14:textId="77777777" w:rsidR="005525B7" w:rsidRPr="005525B7" w:rsidRDefault="005525B7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r w:rsidRPr="004336FD">
        <w:rPr>
          <w:rFonts w:ascii="Arial" w:hAnsi="Arial" w:cs="Arial"/>
          <w:b/>
          <w:sz w:val="22"/>
          <w:szCs w:val="22"/>
          <w:lang w:eastAsia="es-ES_tradnl"/>
        </w:rPr>
        <w:t>*</w:t>
      </w:r>
      <w:r w:rsidRPr="005525B7">
        <w:rPr>
          <w:rFonts w:ascii="Arial" w:hAnsi="Arial" w:cs="Arial"/>
          <w:b/>
          <w:sz w:val="22"/>
          <w:szCs w:val="22"/>
          <w:lang w:eastAsia="es-ES_tradnl"/>
        </w:rPr>
        <w:t xml:space="preserve">La Secretaria de Transparencia de la Presidencia de la Republica </w:t>
      </w:r>
      <w:r w:rsidRPr="005525B7">
        <w:rPr>
          <w:rFonts w:ascii="Arial" w:hAnsi="Arial" w:cs="Arial"/>
          <w:sz w:val="22"/>
          <w:szCs w:val="22"/>
          <w:lang w:eastAsia="es-ES_tradnl"/>
        </w:rPr>
        <w:t xml:space="preserve">tendrá la responsabilidad de administrar y desarrollar el Observatorio Anticorrupción, el cual recolectara, integrara, consolidara e </w:t>
      </w:r>
      <w:proofErr w:type="spellStart"/>
      <w:r w:rsidRPr="005525B7">
        <w:rPr>
          <w:rFonts w:ascii="Arial" w:hAnsi="Arial" w:cs="Arial"/>
          <w:sz w:val="22"/>
          <w:szCs w:val="22"/>
          <w:lang w:eastAsia="es-ES_tradnl"/>
        </w:rPr>
        <w:t>interoperará</w:t>
      </w:r>
      <w:proofErr w:type="spellEnd"/>
      <w:r w:rsidRPr="005525B7">
        <w:rPr>
          <w:rFonts w:ascii="Arial" w:hAnsi="Arial" w:cs="Arial"/>
          <w:sz w:val="22"/>
          <w:szCs w:val="22"/>
          <w:lang w:eastAsia="es-ES_tradnl"/>
        </w:rPr>
        <w:t xml:space="preserve"> información </w:t>
      </w:r>
      <w:r w:rsidRPr="004336FD">
        <w:rPr>
          <w:rFonts w:ascii="Arial" w:hAnsi="Arial" w:cs="Arial"/>
          <w:sz w:val="22"/>
          <w:szCs w:val="22"/>
          <w:lang w:eastAsia="es-ES_tradnl"/>
        </w:rPr>
        <w:t>pública</w:t>
      </w:r>
      <w:r w:rsidRPr="005525B7">
        <w:rPr>
          <w:rFonts w:ascii="Arial" w:hAnsi="Arial" w:cs="Arial"/>
          <w:sz w:val="22"/>
          <w:szCs w:val="22"/>
          <w:lang w:eastAsia="es-ES_tradnl"/>
        </w:rPr>
        <w:t xml:space="preserve"> con el fin de generar de forma permanente y dinámica un análisis de las tipologías del fenómeno de la corrupción, por cada sector.</w:t>
      </w:r>
    </w:p>
    <w:p w14:paraId="5B487F0B" w14:textId="77777777" w:rsidR="005525B7" w:rsidRPr="005525B7" w:rsidRDefault="005525B7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r w:rsidRPr="005525B7">
        <w:rPr>
          <w:rFonts w:ascii="Arial" w:hAnsi="Arial" w:cs="Arial"/>
          <w:sz w:val="22"/>
          <w:szCs w:val="22"/>
          <w:lang w:eastAsia="es-ES_tradnl"/>
        </w:rPr>
        <w:t xml:space="preserve">Con base en el análisis de las tipologías de la corrupción en el país, la Secretaria de Transparencia de la Presidencia de </w:t>
      </w:r>
      <w:r w:rsidRPr="004336FD">
        <w:rPr>
          <w:rFonts w:ascii="Arial" w:hAnsi="Arial" w:cs="Arial"/>
          <w:sz w:val="22"/>
          <w:szCs w:val="22"/>
          <w:lang w:eastAsia="es-ES_tradnl"/>
        </w:rPr>
        <w:t>la Republica generara estudios y</w:t>
      </w:r>
      <w:r w:rsidRPr="005525B7">
        <w:rPr>
          <w:rFonts w:ascii="Arial" w:hAnsi="Arial" w:cs="Arial"/>
          <w:sz w:val="22"/>
          <w:szCs w:val="22"/>
          <w:lang w:eastAsia="es-ES_tradnl"/>
        </w:rPr>
        <w:t xml:space="preserve"> documentos para proponer a la rama ejecutiva modificaciones normativas, administrativas o en sus procesos y procedimientos.</w:t>
      </w:r>
    </w:p>
    <w:p w14:paraId="073EA397" w14:textId="77777777" w:rsidR="005525B7" w:rsidRPr="005525B7" w:rsidRDefault="005525B7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r w:rsidRPr="004336FD">
        <w:rPr>
          <w:rFonts w:ascii="Arial" w:hAnsi="Arial" w:cs="Arial"/>
          <w:b/>
          <w:bCs/>
          <w:sz w:val="22"/>
          <w:szCs w:val="22"/>
          <w:lang w:eastAsia="es-ES_tradnl"/>
        </w:rPr>
        <w:t>*</w:t>
      </w:r>
      <w:r w:rsidRPr="005525B7">
        <w:rPr>
          <w:rFonts w:ascii="Arial" w:hAnsi="Arial" w:cs="Arial"/>
          <w:b/>
          <w:bCs/>
          <w:sz w:val="22"/>
          <w:szCs w:val="22"/>
          <w:lang w:eastAsia="es-ES_tradnl"/>
        </w:rPr>
        <w:t> </w:t>
      </w:r>
      <w:r w:rsidRPr="005525B7">
        <w:rPr>
          <w:rFonts w:ascii="Arial" w:hAnsi="Arial" w:cs="Arial"/>
          <w:sz w:val="22"/>
          <w:szCs w:val="22"/>
          <w:lang w:eastAsia="es-ES_tradnl"/>
        </w:rPr>
        <w:t>La Secretaria de Transparencia de la Presidencia de la Republica no podrá tener acceso a información clasificada y reservada, conforme a lo establecido en la Ley </w:t>
      </w:r>
      <w:hyperlink r:id="rId6" w:anchor="0" w:history="1">
        <w:r w:rsidRPr="004336FD">
          <w:rPr>
            <w:rFonts w:ascii="Arial" w:hAnsi="Arial" w:cs="Arial"/>
            <w:sz w:val="22"/>
            <w:szCs w:val="22"/>
            <w:lang w:eastAsia="es-ES_tradnl"/>
          </w:rPr>
          <w:t>1712</w:t>
        </w:r>
      </w:hyperlink>
      <w:r w:rsidRPr="005525B7">
        <w:rPr>
          <w:rFonts w:ascii="Arial" w:hAnsi="Arial" w:cs="Arial"/>
          <w:sz w:val="22"/>
          <w:szCs w:val="22"/>
          <w:lang w:eastAsia="es-ES_tradnl"/>
        </w:rPr>
        <w:t> de 2014, Ley </w:t>
      </w:r>
      <w:hyperlink r:id="rId7" w:anchor="0" w:history="1">
        <w:r w:rsidRPr="004336FD">
          <w:rPr>
            <w:rFonts w:ascii="Arial" w:hAnsi="Arial" w:cs="Arial"/>
            <w:sz w:val="22"/>
            <w:szCs w:val="22"/>
            <w:lang w:eastAsia="es-ES_tradnl"/>
          </w:rPr>
          <w:t>1581</w:t>
        </w:r>
      </w:hyperlink>
      <w:r w:rsidRPr="005525B7">
        <w:rPr>
          <w:rFonts w:ascii="Arial" w:hAnsi="Arial" w:cs="Arial"/>
          <w:sz w:val="22"/>
          <w:szCs w:val="22"/>
          <w:lang w:eastAsia="es-ES_tradnl"/>
        </w:rPr>
        <w:t> de 2012, Ley </w:t>
      </w:r>
      <w:hyperlink r:id="rId8" w:anchor="0" w:history="1">
        <w:r w:rsidRPr="004336FD">
          <w:rPr>
            <w:rFonts w:ascii="Arial" w:hAnsi="Arial" w:cs="Arial"/>
            <w:sz w:val="22"/>
            <w:szCs w:val="22"/>
            <w:lang w:eastAsia="es-ES_tradnl"/>
          </w:rPr>
          <w:t>1266</w:t>
        </w:r>
      </w:hyperlink>
      <w:r w:rsidRPr="005525B7">
        <w:rPr>
          <w:rFonts w:ascii="Arial" w:hAnsi="Arial" w:cs="Arial"/>
          <w:sz w:val="22"/>
          <w:szCs w:val="22"/>
          <w:lang w:eastAsia="es-ES_tradnl"/>
        </w:rPr>
        <w:t> de 2008 u otras que dispongan el carácter reservado o clasificado de la información. La Secretaria de Transparencia podrá pedir la información de carácter público y anonimizada en formatos que garanticen su interoperabilidad, uso y reutilización.</w:t>
      </w:r>
    </w:p>
    <w:p w14:paraId="09167C20" w14:textId="77777777" w:rsidR="005525B7" w:rsidRPr="004336FD" w:rsidRDefault="005525B7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r w:rsidRPr="004336FD">
        <w:rPr>
          <w:rFonts w:ascii="Arial" w:hAnsi="Arial" w:cs="Arial"/>
          <w:b/>
          <w:bCs/>
          <w:sz w:val="22"/>
          <w:szCs w:val="22"/>
          <w:lang w:eastAsia="es-ES_tradnl"/>
        </w:rPr>
        <w:t>*</w:t>
      </w:r>
      <w:r w:rsidRPr="005525B7">
        <w:rPr>
          <w:rFonts w:ascii="Arial" w:hAnsi="Arial" w:cs="Arial"/>
          <w:sz w:val="22"/>
          <w:szCs w:val="22"/>
          <w:lang w:eastAsia="es-ES_tradnl"/>
        </w:rPr>
        <w:t> La implementación del Observatorio Anticorrupción no generara costos adicionales de funcionamiento a la Secretaria de Transparencia de la Presidencia de la Republica.</w:t>
      </w:r>
    </w:p>
    <w:p w14:paraId="3EA487CE" w14:textId="77777777" w:rsidR="006C3C1C" w:rsidRDefault="006C3C1C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  <w:r w:rsidRPr="004336FD">
        <w:rPr>
          <w:rFonts w:ascii="Arial" w:hAnsi="Arial" w:cs="Arial"/>
          <w:sz w:val="22"/>
          <w:szCs w:val="22"/>
          <w:lang w:eastAsia="es-ES_tradnl"/>
        </w:rPr>
        <w:t>*</w:t>
      </w: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</w:rPr>
        <w:t xml:space="preserve"> </w:t>
      </w:r>
      <w:r w:rsidRPr="00B138FF">
        <w:rPr>
          <w:rFonts w:ascii="Arial" w:eastAsia="Times New Roman" w:hAnsi="Arial" w:cs="Arial"/>
          <w:sz w:val="22"/>
          <w:szCs w:val="22"/>
          <w:u w:val="single"/>
          <w:shd w:val="clear" w:color="auto" w:fill="FFFFFF"/>
          <w:lang w:eastAsia="es-ES_tradnl"/>
        </w:rPr>
        <w:t>Dentro de los seis (6) meses siguientes a la entrada en vigencia de la presente Ley y en virtud del principio de la interoperabilidad, las entidades involucradas en este Sistema deberán poner la información a disposición de la Procuraduría General de la Nación, en tiempo real</w:t>
      </w: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.</w:t>
      </w:r>
    </w:p>
    <w:p w14:paraId="53A2BA6F" w14:textId="77777777" w:rsidR="00B138FF" w:rsidRPr="004336FD" w:rsidRDefault="00B138FF" w:rsidP="00E54A32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</w:p>
    <w:p w14:paraId="48FABBCF" w14:textId="77777777" w:rsidR="006C3C1C" w:rsidRPr="004336FD" w:rsidRDefault="006C3C1C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  <w:r w:rsidRPr="004336FD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eastAsia="es-ES_tradnl"/>
        </w:rPr>
        <w:t>*</w:t>
      </w:r>
      <w:r w:rsidRPr="006C3C1C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eastAsia="es-ES_tradnl"/>
        </w:rPr>
        <w:t>ACCESO Y ANALISIS DE INFORMACION.</w:t>
      </w:r>
      <w:r w:rsidRPr="006C3C1C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 xml:space="preserve"> La Procuraduría General de la Nación, exclusivamente para el ejercicio de sus funciones, tendrá acceso directo a la información y a las bases de datos de las entidades públicas y privadas que cumplan funciones públicas, sin </w:t>
      </w:r>
      <w:proofErr w:type="spellStart"/>
      <w:r w:rsidRPr="006C3C1C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oponibilidad</w:t>
      </w:r>
      <w:proofErr w:type="spellEnd"/>
      <w:r w:rsidRPr="006C3C1C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 xml:space="preserve"> de reserva legal. La Procuraduría General de la Nación acordará con las entidades los términos mediante los cuales se hará efectiva la interoperabilidad o el acceso a la información, según las alternativas tecnológicas disponibles. En todo caso, garantizara la protección efectiva del derecho al habeas data conforme a lo establecido en la Ley </w:t>
      </w:r>
      <w:hyperlink r:id="rId9" w:anchor="0" w:history="1">
        <w:r w:rsidRPr="004336FD">
          <w:rPr>
            <w:rFonts w:ascii="Arial" w:eastAsia="Times New Roman" w:hAnsi="Arial" w:cs="Arial"/>
            <w:sz w:val="22"/>
            <w:szCs w:val="22"/>
            <w:shd w:val="clear" w:color="auto" w:fill="FFFFFF"/>
            <w:lang w:eastAsia="es-ES_tradnl"/>
          </w:rPr>
          <w:t>1581</w:t>
        </w:r>
      </w:hyperlink>
      <w:r w:rsidRPr="006C3C1C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 de 2012.</w:t>
      </w:r>
    </w:p>
    <w:p w14:paraId="5603C319" w14:textId="77777777" w:rsidR="006C3C1C" w:rsidRPr="004336FD" w:rsidRDefault="006C3C1C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</w:p>
    <w:p w14:paraId="69607A2F" w14:textId="77777777" w:rsidR="006C3C1C" w:rsidRPr="004336FD" w:rsidRDefault="006C3C1C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*</w:t>
      </w: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</w:rPr>
        <w:t xml:space="preserve"> </w:t>
      </w: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Cada entidad dispondrá lo necesario para garantizar el suministro oportuno de la información requerida por la Unidad de Gestión de Información e Inteligencia (</w:t>
      </w:r>
      <w:proofErr w:type="spellStart"/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UGll</w:t>
      </w:r>
      <w:proofErr w:type="spellEnd"/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) y demás dependencias de la Procuraduría General de la Nación.</w:t>
      </w:r>
    </w:p>
    <w:p w14:paraId="353C50B1" w14:textId="77777777" w:rsidR="006C3C1C" w:rsidRPr="004336FD" w:rsidRDefault="006C3C1C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</w:p>
    <w:p w14:paraId="65F05431" w14:textId="7B26AE03" w:rsidR="006C3C1C" w:rsidRPr="004336FD" w:rsidRDefault="006C3C1C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*</w:t>
      </w:r>
      <w:r w:rsidRPr="004336FD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</w:rPr>
        <w:t xml:space="preserve"> P</w:t>
      </w:r>
      <w:r w:rsidRPr="004336FD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eastAsia="es-ES_tradnl"/>
        </w:rPr>
        <w:t>EDAGOGIA PARA LA PROMOCION DE LA PARTICIPACION CIUDADANA PARA LA TRANSPARENCIA Y LUCHA CONTRA LA CORRUPCION.</w:t>
      </w: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 Los establecimientos educativos de educación preescolar, básica y media podrán fomentar en su Proyecto Educativo Institucional, en el marco de lo previsto en los Artículos </w:t>
      </w:r>
      <w:hyperlink r:id="rId10" w:anchor="73" w:history="1">
        <w:r w:rsidRPr="004336FD">
          <w:rPr>
            <w:rFonts w:ascii="Arial" w:eastAsia="Times New Roman" w:hAnsi="Arial" w:cs="Arial"/>
            <w:sz w:val="22"/>
            <w:szCs w:val="22"/>
            <w:shd w:val="clear" w:color="auto" w:fill="FFFFFF"/>
            <w:lang w:eastAsia="es-ES_tradnl"/>
          </w:rPr>
          <w:t>73</w:t>
        </w:r>
      </w:hyperlink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 y </w:t>
      </w:r>
      <w:hyperlink r:id="rId11" w:anchor="77" w:history="1">
        <w:r w:rsidRPr="004336FD">
          <w:rPr>
            <w:rFonts w:ascii="Arial" w:eastAsia="Times New Roman" w:hAnsi="Arial" w:cs="Arial"/>
            <w:sz w:val="22"/>
            <w:szCs w:val="22"/>
            <w:shd w:val="clear" w:color="auto" w:fill="FFFFFF"/>
            <w:lang w:eastAsia="es-ES_tradnl"/>
          </w:rPr>
          <w:t>77</w:t>
        </w:r>
      </w:hyperlink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 de la Ley </w:t>
      </w:r>
      <w:hyperlink r:id="rId12" w:anchor="0" w:history="1">
        <w:r w:rsidRPr="004336FD">
          <w:rPr>
            <w:rFonts w:ascii="Arial" w:eastAsia="Times New Roman" w:hAnsi="Arial" w:cs="Arial"/>
            <w:sz w:val="22"/>
            <w:szCs w:val="22"/>
            <w:shd w:val="clear" w:color="auto" w:fill="FFFFFF"/>
            <w:lang w:eastAsia="es-ES_tradnl"/>
          </w:rPr>
          <w:t>115</w:t>
        </w:r>
      </w:hyperlink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 xml:space="preserve"> de 1994, la inclusión de estrategias que busquen el fomento de la participación ciudadana para asegurar la transparencia, la buena gestión </w:t>
      </w:r>
      <w:r w:rsidR="00B138FF"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pública</w:t>
      </w: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 xml:space="preserve"> y el buen uso de los recursos. Estas estrategias se soportan en los conceptos de sentido de lo público, transparencia y cultura de la integridad y podrán incluir aspectos como: i) la divulgación de los derechos y obligaciones de los ciudadanos, incluyendo lo relacionado con las disposiciones de esta Ley, ii) los deberes las autoridades en materia de participación y control de la gestión </w:t>
      </w:r>
      <w:r w:rsidR="00B138FF"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>pública</w:t>
      </w: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  <w:t xml:space="preserve"> por parte de la ciudadanía , iii) los mecanismos de participación y control a disposición de los ciudadanos y la manera de utilizarlos.</w:t>
      </w:r>
    </w:p>
    <w:p w14:paraId="4FDAB6FD" w14:textId="77777777" w:rsidR="00900FA2" w:rsidRPr="004336FD" w:rsidRDefault="00900FA2" w:rsidP="00E54A32">
      <w:pPr>
        <w:jc w:val="both"/>
        <w:rPr>
          <w:rFonts w:ascii="Arial" w:eastAsia="Times New Roman" w:hAnsi="Arial" w:cs="Arial"/>
          <w:sz w:val="22"/>
          <w:szCs w:val="22"/>
          <w:shd w:val="clear" w:color="auto" w:fill="FFFFFF"/>
          <w:lang w:eastAsia="es-ES_tradnl"/>
        </w:rPr>
      </w:pPr>
    </w:p>
    <w:p w14:paraId="14AAE3ED" w14:textId="77777777" w:rsidR="00900FA2" w:rsidRPr="004336FD" w:rsidRDefault="00900FA2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eastAsia="Times New Roman" w:hAnsi="Arial" w:cs="Arial"/>
          <w:sz w:val="22"/>
          <w:szCs w:val="22"/>
          <w:shd w:val="clear" w:color="auto" w:fill="FFFFFF"/>
        </w:rPr>
        <w:t>*</w:t>
      </w:r>
      <w:r w:rsidRPr="004336FD">
        <w:rPr>
          <w:rFonts w:ascii="Arial" w:hAnsi="Arial" w:cs="Arial"/>
          <w:b/>
          <w:bCs/>
          <w:sz w:val="22"/>
          <w:szCs w:val="22"/>
        </w:rPr>
        <w:t xml:space="preserve"> </w:t>
      </w:r>
      <w:r w:rsidR="004B3550" w:rsidRPr="004336FD">
        <w:rPr>
          <w:rFonts w:ascii="Arial" w:hAnsi="Arial" w:cs="Arial"/>
          <w:b/>
          <w:bCs/>
          <w:sz w:val="22"/>
          <w:szCs w:val="22"/>
        </w:rPr>
        <w:t>P</w:t>
      </w:r>
      <w:r w:rsidRPr="004336FD">
        <w:rPr>
          <w:rFonts w:ascii="Arial" w:hAnsi="Arial" w:cs="Arial"/>
          <w:b/>
          <w:bCs/>
          <w:sz w:val="22"/>
          <w:szCs w:val="22"/>
        </w:rPr>
        <w:t>OGRAMAS DE TRANSPARENCIA Y ETICA EN EL SECTOR PUBLICO.</w:t>
      </w:r>
      <w:r w:rsidRPr="004336FD">
        <w:rPr>
          <w:rFonts w:ascii="Arial" w:hAnsi="Arial" w:cs="Arial"/>
          <w:sz w:val="22"/>
          <w:szCs w:val="22"/>
        </w:rPr>
        <w:t> Modifíquese el Artículo </w:t>
      </w:r>
      <w:hyperlink r:id="rId13" w:anchor="73" w:history="1">
        <w:r w:rsidRPr="004336FD">
          <w:rPr>
            <w:rFonts w:ascii="Arial" w:hAnsi="Arial" w:cs="Arial"/>
            <w:sz w:val="22"/>
            <w:szCs w:val="22"/>
          </w:rPr>
          <w:t>73</w:t>
        </w:r>
      </w:hyperlink>
      <w:r w:rsidRPr="004336FD">
        <w:rPr>
          <w:rFonts w:ascii="Arial" w:hAnsi="Arial" w:cs="Arial"/>
          <w:sz w:val="22"/>
          <w:szCs w:val="22"/>
        </w:rPr>
        <w:t> de la Ley </w:t>
      </w:r>
      <w:hyperlink r:id="rId14" w:anchor="0" w:history="1">
        <w:r w:rsidRPr="004336FD">
          <w:rPr>
            <w:rFonts w:ascii="Arial" w:hAnsi="Arial" w:cs="Arial"/>
            <w:sz w:val="22"/>
            <w:szCs w:val="22"/>
          </w:rPr>
          <w:t>1474</w:t>
        </w:r>
      </w:hyperlink>
      <w:r w:rsidRPr="004336FD">
        <w:rPr>
          <w:rFonts w:ascii="Arial" w:hAnsi="Arial" w:cs="Arial"/>
          <w:sz w:val="22"/>
          <w:szCs w:val="22"/>
        </w:rPr>
        <w:t> de 2011, el cual quedara así:</w:t>
      </w:r>
    </w:p>
    <w:p w14:paraId="7AF6B0AB" w14:textId="77777777" w:rsidR="00900FA2" w:rsidRPr="00900FA2" w:rsidRDefault="00900FA2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r w:rsidRPr="00900FA2">
        <w:rPr>
          <w:rFonts w:ascii="Arial" w:hAnsi="Arial" w:cs="Arial"/>
          <w:sz w:val="22"/>
          <w:szCs w:val="22"/>
          <w:lang w:eastAsia="es-ES_tradnl"/>
        </w:rPr>
        <w:t>Artículo 73. Cada entidad del orden nacional, departamental y municipal, cualquiera que sea su régimen de contratación, deberá implementar Programas de Transparencia y Ética Publica con el fin de promover la cultura de la legalidad e identificar, medir, controlar y monitorear constantemente el riesgo de corrupción en el desarrollo de su misionalidad. Este programa contemplara, entre otras cosas:</w:t>
      </w:r>
    </w:p>
    <w:p w14:paraId="64E48B73" w14:textId="77777777" w:rsidR="00900FA2" w:rsidRPr="00900FA2" w:rsidRDefault="00900FA2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bookmarkStart w:id="5" w:name="73._?.a"/>
      <w:bookmarkEnd w:id="5"/>
      <w:r w:rsidRPr="00900FA2">
        <w:rPr>
          <w:rFonts w:ascii="Arial" w:hAnsi="Arial" w:cs="Arial"/>
          <w:sz w:val="22"/>
          <w:szCs w:val="22"/>
          <w:lang w:eastAsia="es-ES_tradnl"/>
        </w:rPr>
        <w:t>a. Medidas de debida diligencia en las entidades del sector público.</w:t>
      </w:r>
    </w:p>
    <w:p w14:paraId="2EC6BA62" w14:textId="77777777" w:rsidR="00900FA2" w:rsidRPr="00900FA2" w:rsidRDefault="00900FA2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bookmarkStart w:id="6" w:name="73._?.b"/>
      <w:bookmarkEnd w:id="6"/>
      <w:r w:rsidRPr="00900FA2">
        <w:rPr>
          <w:rFonts w:ascii="Arial" w:hAnsi="Arial" w:cs="Arial"/>
          <w:sz w:val="22"/>
          <w:szCs w:val="22"/>
          <w:lang w:eastAsia="es-ES_tradnl"/>
        </w:rPr>
        <w:t>b. Prevención, gestión y administración de riesgos de lavado de activos, financiación del terrorismo y proliferación de armas y riesgos de corrupción, incluidos los reportes de operaciones sospechosas a la UIAF, consultas en las listas restrictivas y otras medidas específicas que defina el Gobierno Nacional dentro del año siguiente a la expedición de esta norma;</w:t>
      </w:r>
    </w:p>
    <w:p w14:paraId="18E901E5" w14:textId="77777777" w:rsidR="00900FA2" w:rsidRPr="00900FA2" w:rsidRDefault="00900FA2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bookmarkStart w:id="7" w:name="73._?.c"/>
      <w:bookmarkEnd w:id="7"/>
      <w:r w:rsidRPr="00900FA2">
        <w:rPr>
          <w:rFonts w:ascii="Arial" w:hAnsi="Arial" w:cs="Arial"/>
          <w:sz w:val="22"/>
          <w:szCs w:val="22"/>
          <w:lang w:eastAsia="es-ES_tradnl"/>
        </w:rPr>
        <w:t>c. Redes interinstitucionales para el fortalecimiento de prevención de actos de corrupción, transparencia y legalidad;</w:t>
      </w:r>
    </w:p>
    <w:p w14:paraId="3DFA5BD3" w14:textId="77777777" w:rsidR="00900FA2" w:rsidRPr="00900FA2" w:rsidRDefault="00900FA2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bookmarkStart w:id="8" w:name="73._?.d"/>
      <w:bookmarkEnd w:id="8"/>
      <w:r w:rsidRPr="00900FA2">
        <w:rPr>
          <w:rFonts w:ascii="Arial" w:hAnsi="Arial" w:cs="Arial"/>
          <w:sz w:val="22"/>
          <w:szCs w:val="22"/>
          <w:lang w:eastAsia="es-ES_tradnl"/>
        </w:rPr>
        <w:t>d. Canales de denuncia conforme lo establecido en el Artículo </w:t>
      </w:r>
      <w:hyperlink r:id="rId15" w:anchor="76" w:history="1">
        <w:r w:rsidRPr="004336FD">
          <w:rPr>
            <w:rFonts w:ascii="Arial" w:hAnsi="Arial" w:cs="Arial"/>
            <w:sz w:val="22"/>
            <w:szCs w:val="22"/>
            <w:lang w:eastAsia="es-ES_tradnl"/>
          </w:rPr>
          <w:t>76</w:t>
        </w:r>
      </w:hyperlink>
      <w:r w:rsidRPr="00900FA2">
        <w:rPr>
          <w:rFonts w:ascii="Arial" w:hAnsi="Arial" w:cs="Arial"/>
          <w:sz w:val="22"/>
          <w:szCs w:val="22"/>
          <w:lang w:eastAsia="es-ES_tradnl"/>
        </w:rPr>
        <w:t> de la Ley </w:t>
      </w:r>
      <w:hyperlink r:id="rId16" w:anchor="0" w:history="1">
        <w:r w:rsidRPr="004336FD">
          <w:rPr>
            <w:rFonts w:ascii="Arial" w:hAnsi="Arial" w:cs="Arial"/>
            <w:sz w:val="22"/>
            <w:szCs w:val="22"/>
            <w:lang w:eastAsia="es-ES_tradnl"/>
          </w:rPr>
          <w:t>1474</w:t>
        </w:r>
      </w:hyperlink>
      <w:r w:rsidRPr="00900FA2">
        <w:rPr>
          <w:rFonts w:ascii="Arial" w:hAnsi="Arial" w:cs="Arial"/>
          <w:sz w:val="22"/>
          <w:szCs w:val="22"/>
          <w:lang w:eastAsia="es-ES_tradnl"/>
        </w:rPr>
        <w:t> de 2011;</w:t>
      </w:r>
    </w:p>
    <w:p w14:paraId="48A178E1" w14:textId="77777777" w:rsidR="00900FA2" w:rsidRPr="00900FA2" w:rsidRDefault="00900FA2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bookmarkStart w:id="9" w:name="73._?.e"/>
      <w:bookmarkEnd w:id="9"/>
      <w:r w:rsidRPr="00900FA2">
        <w:rPr>
          <w:rFonts w:ascii="Arial" w:hAnsi="Arial" w:cs="Arial"/>
          <w:sz w:val="22"/>
          <w:szCs w:val="22"/>
          <w:lang w:eastAsia="es-ES_tradnl"/>
        </w:rPr>
        <w:t xml:space="preserve">e. Estrategias de transparencia, Estado abierto, acceso a la información </w:t>
      </w:r>
      <w:r w:rsidR="004B3550" w:rsidRPr="004336FD">
        <w:rPr>
          <w:rFonts w:ascii="Arial" w:hAnsi="Arial" w:cs="Arial"/>
          <w:sz w:val="22"/>
          <w:szCs w:val="22"/>
          <w:lang w:eastAsia="es-ES_tradnl"/>
        </w:rPr>
        <w:t>pública</w:t>
      </w:r>
      <w:r w:rsidRPr="00900FA2">
        <w:rPr>
          <w:rFonts w:ascii="Arial" w:hAnsi="Arial" w:cs="Arial"/>
          <w:sz w:val="22"/>
          <w:szCs w:val="22"/>
          <w:lang w:eastAsia="es-ES_tradnl"/>
        </w:rPr>
        <w:t xml:space="preserve"> y cultura de legalidad;</w:t>
      </w:r>
    </w:p>
    <w:p w14:paraId="75A737A9" w14:textId="77777777" w:rsidR="00900FA2" w:rsidRPr="004336FD" w:rsidRDefault="00900FA2" w:rsidP="00E54A32">
      <w:pPr>
        <w:shd w:val="clear" w:color="auto" w:fill="FFFFFF"/>
        <w:spacing w:after="100" w:afterAutospacing="1"/>
        <w:jc w:val="both"/>
        <w:rPr>
          <w:rFonts w:ascii="Arial" w:hAnsi="Arial" w:cs="Arial"/>
          <w:sz w:val="22"/>
          <w:szCs w:val="22"/>
          <w:lang w:eastAsia="es-ES_tradnl"/>
        </w:rPr>
      </w:pPr>
      <w:bookmarkStart w:id="10" w:name="73._?.f"/>
      <w:bookmarkEnd w:id="10"/>
      <w:r w:rsidRPr="00900FA2">
        <w:rPr>
          <w:rFonts w:ascii="Arial" w:hAnsi="Arial" w:cs="Arial"/>
          <w:sz w:val="22"/>
          <w:szCs w:val="22"/>
          <w:lang w:eastAsia="es-ES_tradnl"/>
        </w:rPr>
        <w:t>f. Todas aquellas iniciativas adicionales que la Entidad considere necesario incluir para prevenir y combatir la corrupción.</w:t>
      </w:r>
    </w:p>
    <w:p w14:paraId="2B0F4C20" w14:textId="77777777" w:rsidR="004B3550" w:rsidRPr="004336FD" w:rsidRDefault="004B3550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4336FD">
        <w:rPr>
          <w:rFonts w:ascii="Arial" w:hAnsi="Arial" w:cs="Arial"/>
          <w:sz w:val="22"/>
          <w:szCs w:val="22"/>
        </w:rPr>
        <w:t xml:space="preserve">En aquellas entidades en las que se tenga_ implementado un Sistema Integral de Administración de Riesgos, este deberá articularse con el Programa de Transparencia y Ética </w:t>
      </w:r>
      <w:r w:rsidRPr="004336FD">
        <w:rPr>
          <w:rFonts w:ascii="Arial" w:hAnsi="Arial" w:cs="Arial"/>
          <w:sz w:val="22"/>
          <w:szCs w:val="22"/>
        </w:rPr>
        <w:t>Pública</w:t>
      </w:r>
      <w:r w:rsidRPr="004336FD">
        <w:rPr>
          <w:rFonts w:ascii="Arial" w:hAnsi="Arial" w:cs="Arial"/>
          <w:sz w:val="22"/>
          <w:szCs w:val="22"/>
        </w:rPr>
        <w:t>.</w:t>
      </w:r>
    </w:p>
    <w:p w14:paraId="04E839AD" w14:textId="77777777" w:rsidR="004B3550" w:rsidRPr="004336FD" w:rsidRDefault="004B3550" w:rsidP="00E54A32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b/>
          <w:sz w:val="22"/>
          <w:szCs w:val="22"/>
        </w:rPr>
      </w:pPr>
      <w:r w:rsidRPr="004336FD">
        <w:rPr>
          <w:rFonts w:ascii="Arial" w:hAnsi="Arial" w:cs="Arial"/>
          <w:b/>
          <w:bCs/>
          <w:sz w:val="22"/>
          <w:szCs w:val="22"/>
        </w:rPr>
        <w:t>*</w:t>
      </w:r>
      <w:r w:rsidRPr="004336FD">
        <w:rPr>
          <w:rFonts w:ascii="Arial" w:hAnsi="Arial" w:cs="Arial"/>
          <w:sz w:val="22"/>
          <w:szCs w:val="22"/>
        </w:rPr>
        <w:t>Las entidades del orden territorial contaran con el termino máximo de dos (2) años y las entidades del orden nacional con un (</w:t>
      </w:r>
      <w:r w:rsidRPr="004336FD">
        <w:rPr>
          <w:rFonts w:ascii="Arial" w:hAnsi="Arial" w:cs="Arial"/>
          <w:b/>
          <w:sz w:val="22"/>
          <w:szCs w:val="22"/>
        </w:rPr>
        <w:t xml:space="preserve">1) año para adoptar Programa de Transparencia y Ética </w:t>
      </w:r>
      <w:proofErr w:type="spellStart"/>
      <w:r w:rsidRPr="004336FD">
        <w:rPr>
          <w:rFonts w:ascii="Arial" w:hAnsi="Arial" w:cs="Arial"/>
          <w:b/>
          <w:sz w:val="22"/>
          <w:szCs w:val="22"/>
        </w:rPr>
        <w:t>Publica</w:t>
      </w:r>
      <w:proofErr w:type="spellEnd"/>
      <w:r w:rsidRPr="004336FD">
        <w:rPr>
          <w:rFonts w:ascii="Arial" w:hAnsi="Arial" w:cs="Arial"/>
          <w:b/>
          <w:sz w:val="22"/>
          <w:szCs w:val="22"/>
        </w:rPr>
        <w:t>.</w:t>
      </w:r>
    </w:p>
    <w:p w14:paraId="32170CF4" w14:textId="1FA23074" w:rsidR="006C3C1C" w:rsidRPr="006C3C1C" w:rsidRDefault="004B3550" w:rsidP="004336FD">
      <w:pPr>
        <w:pStyle w:val="NormalWeb"/>
        <w:shd w:val="clear" w:color="auto" w:fill="FFFFFF"/>
        <w:spacing w:before="0" w:beforeAutospacing="0"/>
        <w:jc w:val="both"/>
        <w:rPr>
          <w:rFonts w:eastAsia="Times New Roman"/>
        </w:rPr>
      </w:pPr>
      <w:r w:rsidRPr="004336FD">
        <w:rPr>
          <w:rFonts w:ascii="Arial" w:hAnsi="Arial" w:cs="Arial"/>
          <w:b/>
          <w:bCs/>
          <w:sz w:val="22"/>
          <w:szCs w:val="22"/>
        </w:rPr>
        <w:t>*</w:t>
      </w:r>
      <w:r w:rsidRPr="004336FD">
        <w:rPr>
          <w:rFonts w:ascii="Arial" w:hAnsi="Arial" w:cs="Arial"/>
          <w:sz w:val="22"/>
          <w:szCs w:val="22"/>
        </w:rPr>
        <w:t>La Secretaria de Transparencia de la Presidencia de la Republica será la encargada de señalar las características, estándares, elementos, requisitos, procedimientos y controles mínimos que deben cumplir el Programa de Transparencia y Ética Publica </w:t>
      </w:r>
    </w:p>
    <w:p w14:paraId="3958C4E8" w14:textId="77777777" w:rsidR="00D676D6" w:rsidRPr="00D676D6" w:rsidRDefault="00D676D6" w:rsidP="00D676D6">
      <w:pPr>
        <w:jc w:val="center"/>
        <w:rPr>
          <w:b/>
          <w:lang w:val="es-ES"/>
        </w:rPr>
      </w:pPr>
      <w:bookmarkStart w:id="11" w:name="_GoBack"/>
      <w:bookmarkEnd w:id="11"/>
    </w:p>
    <w:sectPr w:rsidR="00D676D6" w:rsidRPr="00D676D6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D6"/>
    <w:rsid w:val="004336FD"/>
    <w:rsid w:val="004B3550"/>
    <w:rsid w:val="005525B7"/>
    <w:rsid w:val="006C3C1C"/>
    <w:rsid w:val="0085715A"/>
    <w:rsid w:val="00900FA2"/>
    <w:rsid w:val="00B138FF"/>
    <w:rsid w:val="00BE11BC"/>
    <w:rsid w:val="00D676D6"/>
    <w:rsid w:val="00E54A32"/>
    <w:rsid w:val="00EE75D2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7501D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11BC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BE11B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52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6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funcionpublica.gov.co/eva/gestornormativo/norma.php?i=292" TargetMode="External"/><Relationship Id="rId12" Type="http://schemas.openxmlformats.org/officeDocument/2006/relationships/hyperlink" Target="https://www.funcionpublica.gov.co/eva/gestornormativo/norma.php?i=292" TargetMode="External"/><Relationship Id="rId13" Type="http://schemas.openxmlformats.org/officeDocument/2006/relationships/hyperlink" Target="https://www.funcionpublica.gov.co/eva/gestornormativo/norma.php?i=43292" TargetMode="External"/><Relationship Id="rId14" Type="http://schemas.openxmlformats.org/officeDocument/2006/relationships/hyperlink" Target="https://www.funcionpublica.gov.co/eva/gestornormativo/norma.php?i=43292" TargetMode="External"/><Relationship Id="rId15" Type="http://schemas.openxmlformats.org/officeDocument/2006/relationships/hyperlink" Target="https://www.funcionpublica.gov.co/eva/gestornormativo/norma.php?i=43292" TargetMode="External"/><Relationship Id="rId16" Type="http://schemas.openxmlformats.org/officeDocument/2006/relationships/hyperlink" Target="https://www.funcionpublica.gov.co/eva/gestornormativo/norma.php?i=43292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s://www.funcionpublica.gov.co/eva/gestornormativo/norma.php?i=43292" TargetMode="External"/><Relationship Id="rId5" Type="http://schemas.openxmlformats.org/officeDocument/2006/relationships/hyperlink" Target="https://www.funcionpublica.gov.co/eva/gestornormativo/norma.php?i=43292" TargetMode="External"/><Relationship Id="rId6" Type="http://schemas.openxmlformats.org/officeDocument/2006/relationships/hyperlink" Target="https://www.funcionpublica.gov.co/eva/gestornormativo/norma.php?i=56882" TargetMode="External"/><Relationship Id="rId7" Type="http://schemas.openxmlformats.org/officeDocument/2006/relationships/hyperlink" Target="https://www.funcionpublica.gov.co/eva/gestornormativo/norma.php?i=49981" TargetMode="External"/><Relationship Id="rId8" Type="http://schemas.openxmlformats.org/officeDocument/2006/relationships/hyperlink" Target="https://www.funcionpublica.gov.co/eva/gestornormativo/norma.php?i=34488" TargetMode="External"/><Relationship Id="rId9" Type="http://schemas.openxmlformats.org/officeDocument/2006/relationships/hyperlink" Target="https://www.funcionpublica.gov.co/eva/gestornormativo/norma.php?i=49981" TargetMode="External"/><Relationship Id="rId10" Type="http://schemas.openxmlformats.org/officeDocument/2006/relationships/hyperlink" Target="https://www.funcionpublica.gov.co/eva/gestornormativo/norma.php?i=29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1498</Words>
  <Characters>8245</Characters>
  <Application>Microsoft Macintosh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2022-02-15T19:26:00Z</dcterms:created>
  <dcterms:modified xsi:type="dcterms:W3CDTF">2022-02-15T21:22:00Z</dcterms:modified>
</cp:coreProperties>
</file>