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F1D3F" w14:textId="77777777" w:rsidR="00CE0EB9" w:rsidRPr="00CE0375" w:rsidRDefault="00CE0EB9" w:rsidP="00CE0375">
      <w:pPr>
        <w:jc w:val="both"/>
        <w:rPr>
          <w:rFonts w:ascii="Arial" w:eastAsia="Times New Roman" w:hAnsi="Arial" w:cs="Arial"/>
          <w:b/>
          <w:lang w:eastAsia="es-ES_tradnl"/>
        </w:rPr>
      </w:pPr>
      <w:r w:rsidRPr="00CE0375">
        <w:rPr>
          <w:rFonts w:ascii="Arial" w:eastAsia="Times New Roman" w:hAnsi="Arial" w:cs="Arial"/>
          <w:b/>
          <w:lang w:eastAsia="es-ES_tradnl"/>
        </w:rPr>
        <w:t>DECRETO 298 DE 2022</w:t>
      </w:r>
    </w:p>
    <w:p w14:paraId="6DB1E149" w14:textId="77777777" w:rsidR="00CE0EB9" w:rsidRPr="00CE0375" w:rsidRDefault="00CE0EB9" w:rsidP="00CE0375">
      <w:pPr>
        <w:jc w:val="both"/>
        <w:rPr>
          <w:rFonts w:ascii="Arial" w:eastAsia="Times New Roman" w:hAnsi="Arial" w:cs="Arial"/>
          <w:lang w:eastAsia="es-ES_tradnl"/>
        </w:rPr>
      </w:pPr>
    </w:p>
    <w:p w14:paraId="5C1CA0D5" w14:textId="77777777" w:rsidR="00CE0EB9" w:rsidRPr="00CE0375" w:rsidRDefault="00CE0EB9" w:rsidP="00CE0375">
      <w:pPr>
        <w:jc w:val="both"/>
        <w:rPr>
          <w:rFonts w:ascii="Arial" w:eastAsia="Times New Roman" w:hAnsi="Arial" w:cs="Arial"/>
          <w:lang w:eastAsia="es-ES_tradnl"/>
        </w:rPr>
      </w:pPr>
      <w:r w:rsidRPr="00CE0375">
        <w:rPr>
          <w:rFonts w:ascii="Arial" w:eastAsia="Times New Roman" w:hAnsi="Arial" w:cs="Arial"/>
          <w:b/>
          <w:lang w:eastAsia="es-ES_tradnl"/>
        </w:rPr>
        <w:t>ENTIDAD QUIEN LO PROFIERE</w:t>
      </w:r>
      <w:r w:rsidRPr="00CE0375">
        <w:rPr>
          <w:rFonts w:ascii="Arial" w:eastAsia="Times New Roman" w:hAnsi="Arial" w:cs="Arial"/>
          <w:lang w:eastAsia="es-ES_tradnl"/>
        </w:rPr>
        <w:t>: Ministerio del Interior</w:t>
      </w:r>
    </w:p>
    <w:p w14:paraId="5152FA32" w14:textId="77777777" w:rsidR="00CE0EB9" w:rsidRPr="00CE0375" w:rsidRDefault="00CE0EB9" w:rsidP="00CE0375">
      <w:pPr>
        <w:jc w:val="both"/>
        <w:rPr>
          <w:rFonts w:ascii="Arial" w:eastAsia="Times New Roman" w:hAnsi="Arial" w:cs="Arial"/>
          <w:lang w:eastAsia="es-ES_tradnl"/>
        </w:rPr>
      </w:pPr>
      <w:r w:rsidRPr="00CE0375">
        <w:rPr>
          <w:rFonts w:ascii="Arial" w:eastAsia="Times New Roman" w:hAnsi="Arial" w:cs="Arial"/>
          <w:b/>
          <w:lang w:eastAsia="es-ES_tradnl"/>
        </w:rPr>
        <w:t>OBJETO:</w:t>
      </w:r>
      <w:r w:rsidRPr="00CE0375">
        <w:rPr>
          <w:rFonts w:ascii="Arial" w:eastAsia="Times New Roman" w:hAnsi="Arial" w:cs="Arial"/>
          <w:lang w:eastAsia="es-ES_tradnl"/>
        </w:rPr>
        <w:t xml:space="preserve"> </w:t>
      </w:r>
      <w:r w:rsidR="00CC2A30" w:rsidRPr="00CE0375">
        <w:rPr>
          <w:rFonts w:ascii="Arial" w:eastAsia="Times New Roman" w:hAnsi="Arial" w:cs="Arial"/>
        </w:rPr>
        <w:t xml:space="preserve"> </w:t>
      </w:r>
      <w:r w:rsidR="00CC2A30" w:rsidRPr="00CE0375">
        <w:rPr>
          <w:rFonts w:ascii="Arial" w:eastAsia="Times New Roman" w:hAnsi="Arial" w:cs="Arial"/>
          <w:lang w:eastAsia="es-ES_tradnl"/>
        </w:rPr>
        <w:t>El presente Decreto tiene por objeto regular la fase de Aislamiento Selectivo, Distanciamiento Individual Responsable y Reactivación Económica Segura, que regirá en la República de Colombia, en el marco de la emergencia sanitaria por causa del Coronavirus COVID-19</w:t>
      </w:r>
    </w:p>
    <w:p w14:paraId="775542CD" w14:textId="77777777" w:rsidR="00CE0375" w:rsidRPr="00CE0375" w:rsidRDefault="00CE0EB9" w:rsidP="00CE0375">
      <w:pPr>
        <w:jc w:val="both"/>
        <w:rPr>
          <w:rFonts w:ascii="Arial" w:eastAsia="Times New Roman" w:hAnsi="Arial" w:cs="Arial"/>
          <w:lang w:eastAsia="es-ES_tradnl"/>
        </w:rPr>
      </w:pPr>
      <w:r w:rsidRPr="00CE0375">
        <w:rPr>
          <w:rFonts w:ascii="Arial" w:eastAsia="Times New Roman" w:hAnsi="Arial" w:cs="Arial"/>
          <w:b/>
          <w:lang w:eastAsia="es-ES_tradnl"/>
        </w:rPr>
        <w:t>VIGENCIA:</w:t>
      </w:r>
      <w:r w:rsidR="00CE0375" w:rsidRPr="00CE0375">
        <w:rPr>
          <w:rFonts w:ascii="Arial" w:eastAsia="Times New Roman" w:hAnsi="Arial" w:cs="Arial"/>
          <w:b/>
          <w:lang w:eastAsia="es-ES_tradnl"/>
        </w:rPr>
        <w:t xml:space="preserve"> </w:t>
      </w:r>
      <w:r w:rsidR="00CE0375" w:rsidRPr="00CE0375">
        <w:rPr>
          <w:rFonts w:ascii="Arial" w:eastAsia="Times New Roman" w:hAnsi="Arial" w:cs="Arial"/>
          <w:lang w:eastAsia="es-ES_tradnl"/>
        </w:rPr>
        <w:t>El presente Decreto rige a partir de las cero horas (00:00 a.m.) del día 1 de marzo de 2022, hasta las cero horas (00:00 a.m.) del día 1 de mayo de 2022, y deroga el Decreto 1614 del 30 de noviembre de 2021</w:t>
      </w:r>
    </w:p>
    <w:p w14:paraId="1CF0AF3B" w14:textId="77777777" w:rsidR="00CE0EB9" w:rsidRPr="00CE0375" w:rsidRDefault="00CE0EB9" w:rsidP="00CE0375">
      <w:pPr>
        <w:jc w:val="both"/>
        <w:rPr>
          <w:rFonts w:ascii="Arial" w:eastAsia="Times New Roman" w:hAnsi="Arial" w:cs="Arial"/>
          <w:lang w:eastAsia="es-ES_tradnl"/>
        </w:rPr>
      </w:pPr>
    </w:p>
    <w:p w14:paraId="587F2E8B" w14:textId="77777777" w:rsidR="00CE0EB9" w:rsidRDefault="00CE0EB9" w:rsidP="00CE0375">
      <w:pPr>
        <w:jc w:val="both"/>
        <w:rPr>
          <w:rFonts w:ascii="Arial" w:eastAsia="Times New Roman" w:hAnsi="Arial" w:cs="Arial"/>
          <w:b/>
          <w:lang w:eastAsia="es-ES_tradnl"/>
        </w:rPr>
      </w:pPr>
      <w:r w:rsidRPr="00CE0375">
        <w:rPr>
          <w:rFonts w:ascii="Arial" w:eastAsia="Times New Roman" w:hAnsi="Arial" w:cs="Arial"/>
          <w:b/>
          <w:lang w:eastAsia="es-ES_tradnl"/>
        </w:rPr>
        <w:t xml:space="preserve">ASPECTOS MAS RELEVANTES </w:t>
      </w:r>
    </w:p>
    <w:p w14:paraId="2229689C" w14:textId="77777777" w:rsidR="00CE0375" w:rsidRPr="00CE0375" w:rsidRDefault="00CE0375" w:rsidP="00CE0375">
      <w:pPr>
        <w:jc w:val="both"/>
        <w:rPr>
          <w:rFonts w:ascii="Arial" w:eastAsia="Times New Roman" w:hAnsi="Arial" w:cs="Arial"/>
          <w:b/>
          <w:lang w:eastAsia="es-ES_tradnl"/>
        </w:rPr>
      </w:pPr>
    </w:p>
    <w:p w14:paraId="299EE18B" w14:textId="77777777" w:rsidR="008C672C" w:rsidRPr="008C672C" w:rsidRDefault="00CE0375" w:rsidP="00CE0375">
      <w:pPr>
        <w:jc w:val="both"/>
        <w:rPr>
          <w:rFonts w:ascii="Arial" w:eastAsia="Times New Roman" w:hAnsi="Arial" w:cs="Arial"/>
          <w:lang w:eastAsia="es-ES_tradnl"/>
        </w:rPr>
      </w:pPr>
      <w:r>
        <w:rPr>
          <w:rFonts w:ascii="Arial" w:eastAsia="Times New Roman" w:hAnsi="Arial" w:cs="Arial"/>
          <w:lang w:eastAsia="es-ES_tradnl"/>
        </w:rPr>
        <w:t>L</w:t>
      </w:r>
      <w:r w:rsidR="008C672C" w:rsidRPr="008C672C">
        <w:rPr>
          <w:rFonts w:ascii="Arial" w:eastAsia="Times New Roman" w:hAnsi="Arial" w:cs="Arial"/>
          <w:lang w:eastAsia="es-ES_tradnl"/>
        </w:rPr>
        <w:t>a Dirección de Epidemiología y Demografía del Ministerio de Salud y Protección Social, en comunicación del 28 de febrero de 2022, señaló: "Que, el Plan Nacional de Vacunación, adoptado mediante Decreto 109 de 2021, modificado por l</w:t>
      </w:r>
      <w:r w:rsidR="00CC2A30" w:rsidRPr="00CE0375">
        <w:rPr>
          <w:rFonts w:ascii="Arial" w:eastAsia="Times New Roman" w:hAnsi="Arial" w:cs="Arial"/>
          <w:lang w:eastAsia="es-ES_tradnl"/>
        </w:rPr>
        <w:t>os Decretos 404, 466, 630, 744 y</w:t>
      </w:r>
      <w:r w:rsidR="008C672C" w:rsidRPr="008C672C">
        <w:rPr>
          <w:rFonts w:ascii="Arial" w:eastAsia="Times New Roman" w:hAnsi="Arial" w:cs="Arial"/>
          <w:lang w:eastAsia="es-ES_tradnl"/>
        </w:rPr>
        <w:t xml:space="preserve"> 1671 de 2021, ha venido avanzando, sin embargo es importante recordar que ninguna vacuna tiene una efectividad del 100% en la prevención del contagio, por</w:t>
      </w:r>
      <w:r w:rsidR="00CC2A30" w:rsidRPr="00CE0375">
        <w:rPr>
          <w:rFonts w:ascii="Arial" w:eastAsia="Times New Roman" w:hAnsi="Arial" w:cs="Arial"/>
          <w:lang w:eastAsia="es-ES_tradnl"/>
        </w:rPr>
        <w:t xml:space="preserve"> </w:t>
      </w:r>
      <w:r w:rsidR="008C672C" w:rsidRPr="008C672C">
        <w:rPr>
          <w:rFonts w:ascii="Arial" w:eastAsia="Times New Roman" w:hAnsi="Arial" w:cs="Arial"/>
          <w:lang w:eastAsia="es-ES_tradnl"/>
        </w:rPr>
        <w:t xml:space="preserve">lo que es necesario mantener medidas de bioseguridad aun en personas vacunadas y aún persiste una proporción importante de población no vacunada, por dificultades de acceso o por no adherencia a esta medida de salud pública, presentando un mayor riesgo de presentar manifestaciones graves y mortalidad en caso de contagio, y que además pueden transmitir la enfermedad a otras personas que por sus condiciones de salud pueden tener un mayor riesgo incluso si están vacunados. Que en este sentido, según el reporte diario de dosis aplicadas consolidado por la Dirección de Promoción y Prevención del Ministerio de Salud y Protección Social con corte a 22 de febrero de 2022, de las 51.049.498 personas de la población colombiana según Censo </w:t>
      </w:r>
      <w:proofErr w:type="spellStart"/>
      <w:r w:rsidR="008C672C" w:rsidRPr="008C672C">
        <w:rPr>
          <w:rFonts w:ascii="Arial" w:eastAsia="Times New Roman" w:hAnsi="Arial" w:cs="Arial"/>
          <w:lang w:eastAsia="es-ES_tradnl"/>
        </w:rPr>
        <w:t>Dane</w:t>
      </w:r>
      <w:proofErr w:type="spellEnd"/>
      <w:r w:rsidR="008C672C" w:rsidRPr="008C672C">
        <w:rPr>
          <w:rFonts w:ascii="Arial" w:eastAsia="Times New Roman" w:hAnsi="Arial" w:cs="Arial"/>
          <w:lang w:eastAsia="es-ES_tradnl"/>
        </w:rPr>
        <w:t>, el 80.6% de la población cuenta con primeras y únicas dosis, y 65,3%, tiene aplicada las segundas o únicas dosis y</w:t>
      </w:r>
      <w:r w:rsidR="00CC2A30" w:rsidRPr="00CE0375">
        <w:rPr>
          <w:rFonts w:ascii="Arial" w:eastAsia="Times New Roman" w:hAnsi="Arial" w:cs="Arial"/>
          <w:lang w:eastAsia="es-ES_tradnl"/>
        </w:rPr>
        <w:t xml:space="preserve"> </w:t>
      </w:r>
      <w:r w:rsidR="008C672C" w:rsidRPr="008C672C">
        <w:rPr>
          <w:rFonts w:ascii="Arial" w:eastAsia="Times New Roman" w:hAnsi="Arial" w:cs="Arial"/>
          <w:lang w:eastAsia="es-ES_tradnl"/>
        </w:rPr>
        <w:t xml:space="preserve">eI24,4% se les ha aplicado el refuerzo, lo cual significa que aún existe porcentaje importante de la población que no ha completado el esquema de vacunación, las cuales se consideran susceptibles de contagio por el virus SARS-CoV-2. Que adicionalmente a lo anterior, debe tenerse en cuenta que aún existe una proporción importante de la población mundial que no está vacunada, lo que configura un riesgo para la aparición de nuevas variantes con mayor contagiosidad e incluso una mayor letalidad, que podría propagarse por todos los países. Que, aunque a nivel global luego de la oleada de </w:t>
      </w:r>
      <w:proofErr w:type="spellStart"/>
      <w:r w:rsidR="008C672C" w:rsidRPr="008C672C">
        <w:rPr>
          <w:rFonts w:ascii="Arial" w:eastAsia="Times New Roman" w:hAnsi="Arial" w:cs="Arial"/>
          <w:lang w:eastAsia="es-ES_tradnl"/>
        </w:rPr>
        <w:t>Ómicron</w:t>
      </w:r>
      <w:proofErr w:type="spellEnd"/>
      <w:r w:rsidR="008C672C" w:rsidRPr="008C672C">
        <w:rPr>
          <w:rFonts w:ascii="Arial" w:eastAsia="Times New Roman" w:hAnsi="Arial" w:cs="Arial"/>
          <w:lang w:eastAsia="es-ES_tradnl"/>
        </w:rPr>
        <w:t xml:space="preserve"> se registra una reducción de los casos reportados de COVID-19, la pandemia aún no ha terminado, y el virus SARS-CoV-2 todavía representa una amenaza con impactos significativos en Salud Pública. Que por lo anterior y dadas las circunstancias y medidas de cuidado para preservar la salud y la vida, evitar el contacto y la propagación del Corona virus COVID-19, es necesario decretar medidas de aislamiento selectivo y distanciamiento individual responsable, para todos los habitantes de la República de Colombia, así como otras instrucciones en materia de orden público. </w:t>
      </w:r>
    </w:p>
    <w:p w14:paraId="4F3F662A" w14:textId="77777777" w:rsidR="008C672C" w:rsidRPr="00CE0EB9" w:rsidRDefault="008C672C" w:rsidP="00CE0375">
      <w:pPr>
        <w:jc w:val="both"/>
        <w:rPr>
          <w:rFonts w:ascii="Arial" w:eastAsia="Times New Roman" w:hAnsi="Arial" w:cs="Arial"/>
          <w:b/>
          <w:lang w:eastAsia="es-ES_tradnl"/>
        </w:rPr>
      </w:pPr>
    </w:p>
    <w:p w14:paraId="4E3F3CD6" w14:textId="77777777" w:rsidR="00CC2A30" w:rsidRPr="00CC2A30" w:rsidRDefault="00CC2A30" w:rsidP="00CE0375">
      <w:pPr>
        <w:jc w:val="both"/>
        <w:rPr>
          <w:rFonts w:ascii="Arial" w:eastAsia="Times New Roman" w:hAnsi="Arial" w:cs="Arial"/>
          <w:lang w:eastAsia="es-ES_tradnl"/>
        </w:rPr>
      </w:pPr>
      <w:r w:rsidRPr="00CC2A30">
        <w:rPr>
          <w:rFonts w:ascii="Arial" w:eastAsia="Times New Roman" w:hAnsi="Arial" w:cs="Arial"/>
          <w:lang w:eastAsia="es-ES_tradnl"/>
        </w:rPr>
        <w:t xml:space="preserve">Distanciamiento individual responsable. Todas las personas que permanezcan en el territorio nacional deberán cumplir con los protocolos de bioseguridad para la </w:t>
      </w:r>
      <w:r w:rsidRPr="00CC2A30">
        <w:rPr>
          <w:rFonts w:ascii="Arial" w:eastAsia="Times New Roman" w:hAnsi="Arial" w:cs="Arial"/>
          <w:lang w:eastAsia="es-ES_tradnl"/>
        </w:rPr>
        <w:lastRenderedPageBreak/>
        <w:t xml:space="preserve">disminución de la propagación de la pandemia y la disminución del contagio en las actividades cotidianas expedidos por el Ministerio de Salud y Protección Social. Así mismo, deberán atender las instrucciones que para evitar la propagación del Coronavirus COVID19, </w:t>
      </w:r>
    </w:p>
    <w:p w14:paraId="6B0DC6F0" w14:textId="77777777" w:rsidR="00CE0375" w:rsidRPr="00CE0375" w:rsidRDefault="00A52B95" w:rsidP="00CE0375">
      <w:pPr>
        <w:jc w:val="both"/>
        <w:rPr>
          <w:rFonts w:ascii="Arial" w:eastAsia="Times New Roman" w:hAnsi="Arial" w:cs="Arial"/>
          <w:lang w:eastAsia="es-ES_tradnl"/>
        </w:rPr>
      </w:pPr>
      <w:r w:rsidRPr="00CE0375">
        <w:rPr>
          <w:rFonts w:ascii="Arial" w:eastAsia="Times New Roman" w:hAnsi="Arial" w:cs="Arial"/>
          <w:b/>
          <w:lang w:eastAsia="es-ES_tradnl"/>
        </w:rPr>
        <w:t xml:space="preserve">MEDIDAS PARA LA REACTIVACIÓN PROGRESIVA DE LAS ACTIVIDADES ECONÓMICAS, SOCIALES Y DEL ESTADO. </w:t>
      </w:r>
      <w:r w:rsidR="00CE0375" w:rsidRPr="00CE0375">
        <w:rPr>
          <w:rFonts w:ascii="Arial" w:eastAsia="Times New Roman" w:hAnsi="Arial" w:cs="Arial"/>
          <w:lang w:eastAsia="es-ES_tradnl"/>
        </w:rPr>
        <w:t xml:space="preserve">La ejecución de las actividades económicas, sociales y del Estado, se desarrollarán de acuerdo con los protocolos de bioseguridad y directrices que expida el Ministerio de Salud y Protección Social, de acuerdo con el comportamiento epidemiológico de la pandemia y el avance en el Plan Nacional de Vacunación, sin perjuicio de las ya señaladas en la Resolución 385 de 2020, sus modificaciones y prórrogas, siendo la última la Resolución 304 de 25 de febrero de 2022. </w:t>
      </w:r>
    </w:p>
    <w:p w14:paraId="0A95E64B" w14:textId="77777777" w:rsidR="00CE0375" w:rsidRPr="00CE0375" w:rsidRDefault="00CE0375" w:rsidP="00CE0375">
      <w:pPr>
        <w:jc w:val="both"/>
        <w:rPr>
          <w:rFonts w:ascii="Arial" w:eastAsia="Times New Roman" w:hAnsi="Arial" w:cs="Arial"/>
          <w:lang w:eastAsia="es-ES_tradnl"/>
        </w:rPr>
      </w:pPr>
    </w:p>
    <w:p w14:paraId="33B07D86" w14:textId="77777777" w:rsidR="00CE0375" w:rsidRPr="00CE0375" w:rsidRDefault="00CE0375" w:rsidP="00CE0375">
      <w:pPr>
        <w:jc w:val="both"/>
        <w:rPr>
          <w:rFonts w:ascii="Arial" w:eastAsia="Times New Roman" w:hAnsi="Arial" w:cs="Arial"/>
          <w:lang w:eastAsia="es-ES_tradnl"/>
        </w:rPr>
      </w:pPr>
      <w:r w:rsidRPr="00CE0375">
        <w:rPr>
          <w:rFonts w:ascii="Arial" w:eastAsia="Times New Roman" w:hAnsi="Arial" w:cs="Arial"/>
          <w:lang w:eastAsia="es-ES_tradnl"/>
        </w:rPr>
        <w:t xml:space="preserve">En ningún municipio del territorio nacional se podrá decretar toque de queda o restricciones horarias de movilidad como medida sanitaria para mitigar la pandemia ocasionada por el COVID-19. </w:t>
      </w:r>
    </w:p>
    <w:p w14:paraId="14CC52F3" w14:textId="77777777" w:rsidR="00CE0375" w:rsidRPr="00CE0375" w:rsidRDefault="00CE0375" w:rsidP="00CE0375">
      <w:pPr>
        <w:jc w:val="both"/>
        <w:rPr>
          <w:rFonts w:ascii="Arial" w:eastAsia="Times New Roman" w:hAnsi="Arial" w:cs="Arial"/>
          <w:lang w:eastAsia="es-ES_tradnl"/>
        </w:rPr>
      </w:pPr>
      <w:r w:rsidRPr="00CE0375">
        <w:rPr>
          <w:rFonts w:ascii="Arial" w:eastAsia="Times New Roman" w:hAnsi="Arial" w:cs="Arial"/>
          <w:lang w:eastAsia="es-ES_tradnl"/>
        </w:rPr>
        <w:t xml:space="preserve"> Aislamiento selectivo en municipios con ocupación de Unidades de Cuidados Intensivo -UCI- superior al 85% por causa del Coronavirus COVID -19. Los alcaldes en los municipios y distritos con ocupación de Unidades de Cuidados Intensivo </w:t>
      </w:r>
      <w:r w:rsidRPr="00CE0375">
        <w:rPr>
          <w:rFonts w:ascii="Arial" w:eastAsia="Times New Roman" w:hAnsi="Arial" w:cs="Arial"/>
          <w:lang w:eastAsia="es-ES_tradnl"/>
        </w:rPr>
        <w:softHyphen/>
        <w:t xml:space="preserve"> UCI- superior al 85%, previo concepto del Ministerio de Salud y Protección Social y con la debida autorización del Ministerio del Interior, podrán adoptar las medidas pertinentes para el control y manejo de la pandemia ocasionada por el Coronavirus COVID 19. </w:t>
      </w:r>
    </w:p>
    <w:p w14:paraId="7D9702E0" w14:textId="77777777" w:rsidR="009C1793" w:rsidRPr="00CE0375" w:rsidRDefault="00CE0375" w:rsidP="00CE0375">
      <w:pPr>
        <w:jc w:val="both"/>
        <w:rPr>
          <w:rFonts w:ascii="Arial" w:eastAsia="Times New Roman" w:hAnsi="Arial" w:cs="Arial"/>
          <w:lang w:eastAsia="es-ES_tradnl"/>
        </w:rPr>
      </w:pPr>
      <w:r w:rsidRPr="00CE0375">
        <w:rPr>
          <w:rFonts w:ascii="Arial" w:eastAsia="Times New Roman" w:hAnsi="Arial" w:cs="Arial"/>
          <w:lang w:eastAsia="es-ES_tradnl"/>
        </w:rPr>
        <w:t xml:space="preserve">En ningún municipio del territorio nacional con ocupación de Unidades de Cuidados Intensivo -UCI-superior al 85%, incluida su capacidad de expansión, se podrán habilitar los siguientes espacios o actividades presenciales: - Eventos de carácter público o privado que impliquen asistencia masiva de personas, de conformidad con las disposiciones y protocolos que expida el Ministerio de Salud y Protección Social. </w:t>
      </w:r>
    </w:p>
    <w:p w14:paraId="255639F9" w14:textId="77777777" w:rsidR="00CE0375" w:rsidRPr="00CE0375" w:rsidRDefault="00CE0375" w:rsidP="00CE0375">
      <w:pPr>
        <w:jc w:val="both"/>
        <w:rPr>
          <w:rFonts w:ascii="Arial" w:eastAsia="Times New Roman" w:hAnsi="Arial" w:cs="Arial"/>
          <w:lang w:eastAsia="es-ES_tradnl"/>
        </w:rPr>
      </w:pPr>
    </w:p>
    <w:p w14:paraId="77FABCD3" w14:textId="77777777" w:rsidR="00CE0375" w:rsidRPr="00CE0375" w:rsidRDefault="00A52B95" w:rsidP="00CE0375">
      <w:pPr>
        <w:jc w:val="both"/>
        <w:rPr>
          <w:rFonts w:ascii="Arial" w:eastAsia="Times New Roman" w:hAnsi="Arial" w:cs="Arial"/>
          <w:lang w:eastAsia="es-ES_tradnl"/>
        </w:rPr>
      </w:pPr>
      <w:r w:rsidRPr="00CE0375">
        <w:rPr>
          <w:rFonts w:ascii="Arial" w:eastAsia="Times New Roman" w:hAnsi="Arial" w:cs="Arial"/>
          <w:b/>
          <w:lang w:eastAsia="es-ES_tradnl"/>
        </w:rPr>
        <w:t>CUMPLIMIENTO DE PROTOCOLOS PARA EL DESARROLLO DE ACTIVIDADES</w:t>
      </w:r>
      <w:r>
        <w:rPr>
          <w:rFonts w:ascii="Arial" w:eastAsia="Times New Roman" w:hAnsi="Arial" w:cs="Arial"/>
          <w:lang w:eastAsia="es-ES_tradnl"/>
        </w:rPr>
        <w:t>:</w:t>
      </w:r>
      <w:r w:rsidR="00CE0375" w:rsidRPr="00CE0375">
        <w:rPr>
          <w:rFonts w:ascii="Arial" w:eastAsia="Times New Roman" w:hAnsi="Arial" w:cs="Arial"/>
          <w:lang w:eastAsia="es-ES_tradnl"/>
        </w:rPr>
        <w:t xml:space="preserve"> Los gobernadores y alcaldes municipales y distritales deberán exigir el cumplimiento de los protocolos de bioseguridad que establezca el Ministerio de Salud y Protección Social para el control de la pandemia del Coronavirus COVID-19. Así mismo, deberán atenderse las instrucciones que para evitar la propagación del Coronavirus COVID-19 adopten o expidan los diferentes ministerios y entidades del orden nacional. </w:t>
      </w:r>
    </w:p>
    <w:p w14:paraId="692AF3C5" w14:textId="77777777" w:rsidR="00CE0375" w:rsidRDefault="00CE0375" w:rsidP="00CE0375">
      <w:pPr>
        <w:jc w:val="both"/>
        <w:rPr>
          <w:rFonts w:ascii="Arial" w:eastAsia="Times New Roman" w:hAnsi="Arial" w:cs="Arial"/>
          <w:lang w:eastAsia="es-ES_tradnl"/>
        </w:rPr>
      </w:pPr>
      <w:r w:rsidRPr="00CE0375">
        <w:rPr>
          <w:rFonts w:ascii="Arial" w:eastAsia="Times New Roman" w:hAnsi="Arial" w:cs="Arial"/>
          <w:u w:val="single"/>
          <w:lang w:eastAsia="es-ES_tradnl"/>
        </w:rPr>
        <w:t>Se autoriza retirar el uso obligatorio del tapabocas en espacios abiertos o al aire libre para los municipios que alcancen la cobertura de vacunación indicada en la reglamentación que sobre el particular expida el Ministerio de Salud y Protección Social</w:t>
      </w:r>
      <w:r w:rsidRPr="00CE0375">
        <w:rPr>
          <w:rFonts w:ascii="Arial" w:eastAsia="Times New Roman" w:hAnsi="Arial" w:cs="Arial"/>
          <w:lang w:eastAsia="es-ES_tradnl"/>
        </w:rPr>
        <w:t xml:space="preserve">. </w:t>
      </w:r>
    </w:p>
    <w:p w14:paraId="2FD6B5FE" w14:textId="77777777" w:rsidR="00A52B95" w:rsidRPr="00CE0375" w:rsidRDefault="00A52B95" w:rsidP="00CE0375">
      <w:pPr>
        <w:jc w:val="both"/>
        <w:rPr>
          <w:rFonts w:ascii="Arial" w:eastAsia="Times New Roman" w:hAnsi="Arial" w:cs="Arial"/>
          <w:lang w:eastAsia="es-ES_tradnl"/>
        </w:rPr>
      </w:pPr>
    </w:p>
    <w:p w14:paraId="5B109A8D" w14:textId="77777777" w:rsidR="00CE0375" w:rsidRDefault="00A52B95" w:rsidP="00CE0375">
      <w:pPr>
        <w:jc w:val="both"/>
        <w:rPr>
          <w:rFonts w:ascii="Arial" w:eastAsia="Times New Roman" w:hAnsi="Arial" w:cs="Arial"/>
          <w:lang w:eastAsia="es-ES_tradnl"/>
        </w:rPr>
      </w:pPr>
      <w:r w:rsidRPr="00CE0375">
        <w:rPr>
          <w:rFonts w:ascii="Arial" w:eastAsia="Times New Roman" w:hAnsi="Arial" w:cs="Arial"/>
          <w:b/>
          <w:lang w:eastAsia="es-ES_tradnl"/>
        </w:rPr>
        <w:t>MEDIDAS PARA EL COMPORTAMIENTO CIUDADANO</w:t>
      </w:r>
      <w:r>
        <w:rPr>
          <w:rFonts w:ascii="Arial" w:eastAsia="Times New Roman" w:hAnsi="Arial" w:cs="Arial"/>
          <w:lang w:eastAsia="es-ES_tradnl"/>
        </w:rPr>
        <w:t>:</w:t>
      </w:r>
      <w:r w:rsidR="00CE0375" w:rsidRPr="00CE0375">
        <w:rPr>
          <w:rFonts w:ascii="Arial" w:eastAsia="Times New Roman" w:hAnsi="Arial" w:cs="Arial"/>
          <w:lang w:eastAsia="es-ES_tradnl"/>
        </w:rPr>
        <w:t xml:space="preserve"> El Ministerio de Salud y Protección Social adoptará el protocolo de bioseguridad de comportamiento del ciudadano en el espacio público para la disminución de la propagación de la pandemia y la disminución del contagio en las actividades cotidianas.</w:t>
      </w:r>
    </w:p>
    <w:p w14:paraId="270605CA" w14:textId="77777777" w:rsidR="00A52B95" w:rsidRPr="00CE0375" w:rsidRDefault="00A52B95" w:rsidP="00CE0375">
      <w:pPr>
        <w:jc w:val="both"/>
        <w:rPr>
          <w:rFonts w:ascii="Arial" w:eastAsia="Times New Roman" w:hAnsi="Arial" w:cs="Arial"/>
          <w:lang w:eastAsia="es-ES_tradnl"/>
        </w:rPr>
      </w:pPr>
    </w:p>
    <w:p w14:paraId="2D18E5CF" w14:textId="77777777" w:rsidR="00CE0375" w:rsidRDefault="00CE0375" w:rsidP="00CE0375">
      <w:pPr>
        <w:jc w:val="both"/>
        <w:rPr>
          <w:rFonts w:ascii="Arial" w:eastAsia="Times New Roman" w:hAnsi="Arial" w:cs="Arial"/>
          <w:lang w:eastAsia="es-ES_tradnl"/>
        </w:rPr>
      </w:pPr>
      <w:r w:rsidRPr="00CE0375">
        <w:rPr>
          <w:rFonts w:ascii="Arial" w:eastAsia="Times New Roman" w:hAnsi="Arial" w:cs="Arial"/>
          <w:b/>
          <w:lang w:eastAsia="es-ES_tradnl"/>
        </w:rPr>
        <w:t xml:space="preserve"> </w:t>
      </w:r>
      <w:r w:rsidR="00A52B95" w:rsidRPr="00CE0375">
        <w:rPr>
          <w:rFonts w:ascii="Arial" w:eastAsia="Times New Roman" w:hAnsi="Arial" w:cs="Arial"/>
          <w:b/>
          <w:lang w:eastAsia="es-ES_tradnl"/>
        </w:rPr>
        <w:t>ALTERNATIVAS DE ORGANIZACIÓN LABORAL</w:t>
      </w:r>
      <w:r w:rsidRPr="00CE0375">
        <w:rPr>
          <w:rFonts w:ascii="Arial" w:eastAsia="Times New Roman" w:hAnsi="Arial" w:cs="Arial"/>
          <w:lang w:eastAsia="es-ES_tradnl"/>
        </w:rPr>
        <w:t>. Durante el tiempo que dure la emergencia sanitaria por causa de la pandemia del Coronavirus COVID-19, las entidades del sector público y privado para el cumplimiento de sus funciones podrán establecer las modalidades como el teletrabajo, trabajo remoto y trabajo en casa u otras similares de acuerdo con sus necesidades.</w:t>
      </w:r>
    </w:p>
    <w:p w14:paraId="2F34FE5B" w14:textId="77777777" w:rsidR="00A52B95" w:rsidRPr="00CE0375" w:rsidRDefault="00A52B95" w:rsidP="00CE0375">
      <w:pPr>
        <w:jc w:val="both"/>
        <w:rPr>
          <w:rFonts w:ascii="Arial" w:eastAsia="Times New Roman" w:hAnsi="Arial" w:cs="Arial"/>
          <w:lang w:eastAsia="es-ES_tradnl"/>
        </w:rPr>
      </w:pPr>
    </w:p>
    <w:p w14:paraId="1F0EBFD4" w14:textId="77777777" w:rsidR="00CE0375" w:rsidRPr="00CE0375" w:rsidRDefault="00A52B95" w:rsidP="00CE0375">
      <w:pPr>
        <w:jc w:val="both"/>
        <w:rPr>
          <w:rFonts w:ascii="Arial" w:eastAsia="Times New Roman" w:hAnsi="Arial" w:cs="Arial"/>
          <w:lang w:eastAsia="es-ES_tradnl"/>
        </w:rPr>
      </w:pPr>
      <w:r w:rsidRPr="00CE0375">
        <w:rPr>
          <w:rFonts w:ascii="Arial" w:eastAsia="Times New Roman" w:hAnsi="Arial" w:cs="Arial"/>
          <w:b/>
          <w:lang w:eastAsia="es-ES_tradnl"/>
        </w:rPr>
        <w:t>INOBSERVANCIA DE LAS MEDIDAS</w:t>
      </w:r>
      <w:r w:rsidRPr="00CE0375">
        <w:rPr>
          <w:rFonts w:ascii="Arial" w:eastAsia="Times New Roman" w:hAnsi="Arial" w:cs="Arial"/>
          <w:lang w:eastAsia="es-ES_tradnl"/>
        </w:rPr>
        <w:t xml:space="preserve">. </w:t>
      </w:r>
      <w:r w:rsidR="00CE0375" w:rsidRPr="00CE0375">
        <w:rPr>
          <w:rFonts w:ascii="Arial" w:eastAsia="Times New Roman" w:hAnsi="Arial" w:cs="Arial"/>
          <w:lang w:eastAsia="es-ES_tradnl"/>
        </w:rPr>
        <w:t xml:space="preserve">La violación e inobservancia de las medidas adoptadas e instrucciones dadas mediante el presente Decreto, darán lugar a la sanción penal prevista en el artículo 368 del Código Penal y a las multas previstas en artículo 2.8.8.1.4.21 del Decreto 780 de 2016, o la norma que sustituya, modifique o derogue. Los gobernadores y alcaldes que omitan. el cumplimiento de lo dispuesto en este decreto serán sujetos de las sanciones a que haya lugar. </w:t>
      </w:r>
    </w:p>
    <w:p w14:paraId="13E1E888" w14:textId="77777777" w:rsidR="00CE0375" w:rsidRPr="00CE0375" w:rsidRDefault="00CE0375" w:rsidP="00CE0375">
      <w:pPr>
        <w:jc w:val="both"/>
        <w:rPr>
          <w:rFonts w:ascii="Arial" w:hAnsi="Arial" w:cs="Arial"/>
          <w:bCs/>
          <w:iCs/>
          <w:sz w:val="22"/>
          <w:szCs w:val="22"/>
          <w:lang w:val="es-ES"/>
        </w:rPr>
      </w:pPr>
    </w:p>
    <w:p w14:paraId="5CA26BF1" w14:textId="77777777" w:rsidR="009C1793" w:rsidRPr="0027610E" w:rsidRDefault="009C1793">
      <w:pPr>
        <w:rPr>
          <w:rFonts w:ascii="PilGi" w:eastAsia="PilGi" w:hAnsi="Brush Script MT" w:cs="Brush Script MT" w:hint="eastAsia"/>
          <w:b/>
          <w:bCs/>
          <w:i/>
          <w:iCs/>
          <w:sz w:val="72"/>
          <w:szCs w:val="72"/>
          <w:lang w:val="es-ES"/>
        </w:rPr>
      </w:pPr>
      <w:bookmarkStart w:id="0" w:name="_GoBack"/>
      <w:bookmarkEnd w:id="0"/>
    </w:p>
    <w:sectPr w:rsidR="009C1793" w:rsidRPr="0027610E"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PilGi">
    <w:panose1 w:val="02000500000000000000"/>
    <w:charset w:val="81"/>
    <w:family w:val="auto"/>
    <w:pitch w:val="variable"/>
    <w:sig w:usb0="00000001" w:usb1="09060000" w:usb2="00000010" w:usb3="00000000" w:csb0="00080000" w:csb1="00000000"/>
  </w:font>
  <w:font w:name="Brush Script MT">
    <w:panose1 w:val="03060802040406070304"/>
    <w:charset w:val="00"/>
    <w:family w:val="auto"/>
    <w:pitch w:val="variable"/>
    <w:sig w:usb0="00000003" w:usb1="00000000" w:usb2="00000000" w:usb3="00000000" w:csb0="0025003B"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93"/>
    <w:rsid w:val="0027610E"/>
    <w:rsid w:val="005E388F"/>
    <w:rsid w:val="008C672C"/>
    <w:rsid w:val="009C146A"/>
    <w:rsid w:val="009C1793"/>
    <w:rsid w:val="00A52B95"/>
    <w:rsid w:val="00CC2A30"/>
    <w:rsid w:val="00CE0375"/>
    <w:rsid w:val="00CE0EB9"/>
    <w:rsid w:val="00EE75D2"/>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D5628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77525">
      <w:bodyDiv w:val="1"/>
      <w:marLeft w:val="0"/>
      <w:marRight w:val="0"/>
      <w:marTop w:val="0"/>
      <w:marBottom w:val="0"/>
      <w:divBdr>
        <w:top w:val="none" w:sz="0" w:space="0" w:color="auto"/>
        <w:left w:val="none" w:sz="0" w:space="0" w:color="auto"/>
        <w:bottom w:val="none" w:sz="0" w:space="0" w:color="auto"/>
        <w:right w:val="none" w:sz="0" w:space="0" w:color="auto"/>
      </w:divBdr>
    </w:div>
    <w:div w:id="230778535">
      <w:bodyDiv w:val="1"/>
      <w:marLeft w:val="0"/>
      <w:marRight w:val="0"/>
      <w:marTop w:val="0"/>
      <w:marBottom w:val="0"/>
      <w:divBdr>
        <w:top w:val="none" w:sz="0" w:space="0" w:color="auto"/>
        <w:left w:val="none" w:sz="0" w:space="0" w:color="auto"/>
        <w:bottom w:val="none" w:sz="0" w:space="0" w:color="auto"/>
        <w:right w:val="none" w:sz="0" w:space="0" w:color="auto"/>
      </w:divBdr>
    </w:div>
    <w:div w:id="472215901">
      <w:bodyDiv w:val="1"/>
      <w:marLeft w:val="0"/>
      <w:marRight w:val="0"/>
      <w:marTop w:val="0"/>
      <w:marBottom w:val="0"/>
      <w:divBdr>
        <w:top w:val="none" w:sz="0" w:space="0" w:color="auto"/>
        <w:left w:val="none" w:sz="0" w:space="0" w:color="auto"/>
        <w:bottom w:val="none" w:sz="0" w:space="0" w:color="auto"/>
        <w:right w:val="none" w:sz="0" w:space="0" w:color="auto"/>
      </w:divBdr>
    </w:div>
    <w:div w:id="662467418">
      <w:bodyDiv w:val="1"/>
      <w:marLeft w:val="0"/>
      <w:marRight w:val="0"/>
      <w:marTop w:val="0"/>
      <w:marBottom w:val="0"/>
      <w:divBdr>
        <w:top w:val="none" w:sz="0" w:space="0" w:color="auto"/>
        <w:left w:val="none" w:sz="0" w:space="0" w:color="auto"/>
        <w:bottom w:val="none" w:sz="0" w:space="0" w:color="auto"/>
        <w:right w:val="none" w:sz="0" w:space="0" w:color="auto"/>
      </w:divBdr>
    </w:div>
    <w:div w:id="1017387115">
      <w:bodyDiv w:val="1"/>
      <w:marLeft w:val="0"/>
      <w:marRight w:val="0"/>
      <w:marTop w:val="0"/>
      <w:marBottom w:val="0"/>
      <w:divBdr>
        <w:top w:val="none" w:sz="0" w:space="0" w:color="auto"/>
        <w:left w:val="none" w:sz="0" w:space="0" w:color="auto"/>
        <w:bottom w:val="none" w:sz="0" w:space="0" w:color="auto"/>
        <w:right w:val="none" w:sz="0" w:space="0" w:color="auto"/>
      </w:divBdr>
    </w:div>
    <w:div w:id="1523282540">
      <w:bodyDiv w:val="1"/>
      <w:marLeft w:val="0"/>
      <w:marRight w:val="0"/>
      <w:marTop w:val="0"/>
      <w:marBottom w:val="0"/>
      <w:divBdr>
        <w:top w:val="none" w:sz="0" w:space="0" w:color="auto"/>
        <w:left w:val="none" w:sz="0" w:space="0" w:color="auto"/>
        <w:bottom w:val="none" w:sz="0" w:space="0" w:color="auto"/>
        <w:right w:val="none" w:sz="0" w:space="0" w:color="auto"/>
      </w:divBdr>
    </w:div>
    <w:div w:id="19616904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2532</TotalTime>
  <Pages>3</Pages>
  <Words>1075</Words>
  <Characters>5916</Characters>
  <Application>Microsoft Macintosh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cp:lastPrinted>2022-04-02T21:36:00Z</cp:lastPrinted>
  <dcterms:created xsi:type="dcterms:W3CDTF">2022-04-02T20:38:00Z</dcterms:created>
  <dcterms:modified xsi:type="dcterms:W3CDTF">2022-04-04T15:54:00Z</dcterms:modified>
</cp:coreProperties>
</file>