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9AC42A" w14:textId="77777777" w:rsidR="00647C5F" w:rsidRPr="00085D17" w:rsidRDefault="00647C5F" w:rsidP="00085D17">
      <w:pPr>
        <w:jc w:val="center"/>
        <w:rPr>
          <w:rFonts w:ascii="Arial" w:hAnsi="Arial" w:cs="Arial"/>
          <w:b/>
          <w:lang w:val="es-ES"/>
        </w:rPr>
      </w:pPr>
      <w:r w:rsidRPr="00085D17">
        <w:rPr>
          <w:rFonts w:ascii="Arial" w:hAnsi="Arial" w:cs="Arial"/>
          <w:b/>
          <w:lang w:val="es-ES"/>
        </w:rPr>
        <w:t>DECRETO 1606 DE 2022</w:t>
      </w:r>
    </w:p>
    <w:p w14:paraId="3B64440B" w14:textId="77777777" w:rsidR="00647C5F" w:rsidRPr="00085D17" w:rsidRDefault="00647C5F" w:rsidP="00085D17">
      <w:pPr>
        <w:jc w:val="both"/>
        <w:rPr>
          <w:rFonts w:ascii="Arial" w:hAnsi="Arial" w:cs="Arial"/>
          <w:b/>
          <w:lang w:val="es-ES"/>
        </w:rPr>
      </w:pPr>
    </w:p>
    <w:p w14:paraId="10932A19" w14:textId="77777777" w:rsidR="00647C5F" w:rsidRPr="00085D17" w:rsidRDefault="00647C5F" w:rsidP="00085D17">
      <w:pPr>
        <w:jc w:val="both"/>
        <w:rPr>
          <w:rFonts w:ascii="Arial" w:hAnsi="Arial" w:cs="Arial"/>
          <w:b/>
          <w:lang w:val="es-ES"/>
        </w:rPr>
      </w:pPr>
      <w:r w:rsidRPr="00085D17">
        <w:rPr>
          <w:rFonts w:ascii="Arial" w:hAnsi="Arial" w:cs="Arial"/>
          <w:b/>
          <w:lang w:val="es-ES"/>
        </w:rPr>
        <w:t xml:space="preserve">ENTIDAD QUE LO PROFIERE: </w:t>
      </w:r>
      <w:r w:rsidRPr="00085D17">
        <w:rPr>
          <w:rFonts w:ascii="Arial" w:hAnsi="Arial" w:cs="Arial"/>
          <w:lang w:val="es-ES"/>
        </w:rPr>
        <w:t>Ministerio de Vivienda Ciudad y Territorio</w:t>
      </w:r>
    </w:p>
    <w:p w14:paraId="78C2BB39" w14:textId="77777777" w:rsidR="00647C5F" w:rsidRPr="00085D17" w:rsidRDefault="00647C5F" w:rsidP="00085D17">
      <w:pPr>
        <w:jc w:val="both"/>
        <w:rPr>
          <w:rFonts w:ascii="Arial" w:eastAsia="Times New Roman" w:hAnsi="Arial" w:cs="Arial"/>
          <w:lang w:eastAsia="es-ES_tradnl"/>
        </w:rPr>
      </w:pPr>
      <w:r w:rsidRPr="00085D17">
        <w:rPr>
          <w:rFonts w:ascii="Arial" w:hAnsi="Arial" w:cs="Arial"/>
          <w:b/>
          <w:lang w:val="es-ES"/>
        </w:rPr>
        <w:t>TEMA:</w:t>
      </w:r>
      <w:r w:rsidRPr="00085D17">
        <w:rPr>
          <w:rFonts w:ascii="Arial" w:hAnsi="Arial" w:cs="Arial"/>
          <w:lang w:val="es-ES"/>
        </w:rPr>
        <w:t xml:space="preserve"> </w:t>
      </w:r>
      <w:r w:rsidRPr="00085D17">
        <w:rPr>
          <w:rFonts w:ascii="Arial" w:eastAsia="Times New Roman" w:hAnsi="Arial" w:cs="Arial"/>
          <w:lang w:eastAsia="es-ES_tradnl"/>
        </w:rPr>
        <w:t>Modifica e</w:t>
      </w:r>
      <w:r w:rsidRPr="00085D17">
        <w:rPr>
          <w:rFonts w:ascii="Arial" w:eastAsia="Times New Roman" w:hAnsi="Arial" w:cs="Arial"/>
          <w:lang w:eastAsia="es-ES_tradnl"/>
        </w:rPr>
        <w:t xml:space="preserve">l régimen de transición de las medidas de protección al comprador de vivienda nueva </w:t>
      </w:r>
    </w:p>
    <w:p w14:paraId="6195781C" w14:textId="77777777" w:rsidR="00647C5F" w:rsidRPr="00085D17" w:rsidRDefault="00647C5F" w:rsidP="00085D17">
      <w:pPr>
        <w:jc w:val="both"/>
        <w:rPr>
          <w:rFonts w:ascii="Arial" w:hAnsi="Arial" w:cs="Arial"/>
          <w:lang w:val="es-ES"/>
        </w:rPr>
      </w:pPr>
      <w:r w:rsidRPr="00085D17">
        <w:rPr>
          <w:rFonts w:ascii="Arial" w:hAnsi="Arial" w:cs="Arial"/>
          <w:b/>
          <w:lang w:val="es-ES"/>
        </w:rPr>
        <w:t>FECHA DE ENTRADA EN VIGENCIA</w:t>
      </w:r>
      <w:r w:rsidRPr="00085D17">
        <w:rPr>
          <w:rFonts w:ascii="Arial" w:hAnsi="Arial" w:cs="Arial"/>
          <w:lang w:val="es-ES"/>
        </w:rPr>
        <w:t xml:space="preserve">  05 de agosto de 2022</w:t>
      </w:r>
    </w:p>
    <w:p w14:paraId="3E2DB47F" w14:textId="77777777" w:rsidR="00647C5F" w:rsidRPr="00647C5F" w:rsidRDefault="00647C5F" w:rsidP="00085D17">
      <w:pPr>
        <w:jc w:val="both"/>
        <w:rPr>
          <w:rFonts w:ascii="Arial" w:eastAsia="Times New Roman" w:hAnsi="Arial" w:cs="Arial"/>
          <w:lang w:eastAsia="es-ES_tradnl"/>
        </w:rPr>
      </w:pPr>
      <w:r w:rsidRPr="00085D17">
        <w:rPr>
          <w:rFonts w:ascii="Arial" w:hAnsi="Arial" w:cs="Arial"/>
          <w:b/>
          <w:lang w:val="es-ES"/>
        </w:rPr>
        <w:t>DEROGACIONES Y MODIFICACIONES:</w:t>
      </w:r>
      <w:r w:rsidRPr="00085D17">
        <w:rPr>
          <w:rFonts w:ascii="Arial" w:hAnsi="Arial" w:cs="Arial"/>
          <w:lang w:val="es-ES"/>
        </w:rPr>
        <w:t xml:space="preserve"> </w:t>
      </w:r>
      <w:r w:rsidRPr="00647C5F">
        <w:rPr>
          <w:rFonts w:ascii="Arial" w:eastAsia="Times New Roman" w:hAnsi="Arial" w:cs="Arial"/>
          <w:lang w:eastAsia="es-ES_tradnl"/>
        </w:rPr>
        <w:t xml:space="preserve">Modifíquese el parágrafo del artículo 2.2.6.7.1.1.1 de la Subsección 1 de la Sección 1 del Capítulo 7 del Título 6 de la </w:t>
      </w:r>
      <w:bookmarkStart w:id="0" w:name="_GoBack"/>
      <w:r w:rsidRPr="00647C5F">
        <w:rPr>
          <w:rFonts w:ascii="Arial" w:eastAsia="Times New Roman" w:hAnsi="Arial" w:cs="Arial"/>
          <w:lang w:eastAsia="es-ES_tradnl"/>
        </w:rPr>
        <w:t xml:space="preserve">Parte 2 del Libro 2 del Decreto 1077 de 2015, y adiciónese un parágrafo transitorio </w:t>
      </w:r>
    </w:p>
    <w:p w14:paraId="7A723C4F" w14:textId="77777777" w:rsidR="00647C5F" w:rsidRPr="00085D17" w:rsidRDefault="00647C5F" w:rsidP="00085D17">
      <w:pPr>
        <w:jc w:val="both"/>
        <w:rPr>
          <w:rFonts w:ascii="Arial" w:hAnsi="Arial" w:cs="Arial"/>
          <w:lang w:val="es-ES"/>
        </w:rPr>
      </w:pPr>
    </w:p>
    <w:p w14:paraId="0B808A2E" w14:textId="77777777" w:rsidR="00647C5F" w:rsidRPr="00085D17" w:rsidRDefault="00647C5F" w:rsidP="00085D17">
      <w:pPr>
        <w:jc w:val="both"/>
        <w:rPr>
          <w:rFonts w:ascii="Arial" w:hAnsi="Arial" w:cs="Arial"/>
          <w:b/>
          <w:lang w:val="es-ES"/>
        </w:rPr>
      </w:pPr>
      <w:r w:rsidRPr="00085D17">
        <w:rPr>
          <w:rFonts w:ascii="Arial" w:hAnsi="Arial" w:cs="Arial"/>
          <w:b/>
          <w:lang w:val="es-ES"/>
        </w:rPr>
        <w:t>ASPECTOS MAS RELEVANTES</w:t>
      </w:r>
    </w:p>
    <w:p w14:paraId="5D41B457" w14:textId="77777777" w:rsidR="00647C5F" w:rsidRPr="00647C5F" w:rsidRDefault="00647C5F" w:rsidP="00085D17">
      <w:pPr>
        <w:jc w:val="both"/>
        <w:rPr>
          <w:rFonts w:ascii="Arial" w:eastAsia="Times New Roman" w:hAnsi="Arial" w:cs="Arial"/>
          <w:lang w:eastAsia="es-ES_tradnl"/>
        </w:rPr>
      </w:pPr>
      <w:r w:rsidRPr="00647C5F">
        <w:rPr>
          <w:rFonts w:ascii="Arial" w:eastAsia="Times New Roman" w:hAnsi="Arial" w:cs="Arial"/>
          <w:lang w:eastAsia="es-ES_tradnl"/>
        </w:rPr>
        <w:t>el Capítulo 11 del Título 11 de la Ley 1796 de 2016 se estableció la obligación de amparar los perjuicios patrimoniales en los proyectos de vivienda nueva para cubrir los perjuicios patrimoniales causados a los propietarios que se vean afectados por alguna de las situaciones contempladas en el numeral 3 del artículo 2060 del Código Civil.</w:t>
      </w:r>
    </w:p>
    <w:p w14:paraId="3CB05F33" w14:textId="77777777" w:rsidR="00647C5F" w:rsidRPr="00647C5F" w:rsidRDefault="00647C5F" w:rsidP="00085D17">
      <w:pPr>
        <w:jc w:val="both"/>
        <w:rPr>
          <w:rFonts w:ascii="Arial" w:eastAsia="Times New Roman" w:hAnsi="Arial" w:cs="Arial"/>
          <w:lang w:eastAsia="es-ES_tradnl"/>
        </w:rPr>
      </w:pPr>
      <w:r w:rsidRPr="00647C5F">
        <w:rPr>
          <w:rFonts w:ascii="Arial" w:eastAsia="Times New Roman" w:hAnsi="Arial" w:cs="Arial"/>
          <w:lang w:eastAsia="es-ES_tradnl"/>
        </w:rPr>
        <w:t xml:space="preserve">Que mediante el Decreto 282 de 2019 "Por medio del cual se adiciona el Capítulo 7 al Título 6 de la Parte 2 del Libro 2 del Decreto 1077 de 2015 Único Reglamentario del Sector Vivienda, Ciudad y Territorio, reglamentando los artículos 8 y 9 de la Ley 1796 de 2016 en relación con las medidas de protección al comprador de vivienda nueva", se fijó un régimen de transición estableciendo que las medidas adoptadas en el mismo serán de "obligatorio cumplimiento por parte del constructor o enajenador de vivienda nueva para los proyectos de vivienda, en los cuales la licencia de construcción en la modalidad de obra nueva sea radicada en legal y debida forma, con posterioridad a los 24 meses de la publicación del presente decreto", esto es el 22 de febrero de 2021. </w:t>
      </w:r>
    </w:p>
    <w:p w14:paraId="5540E917" w14:textId="77777777" w:rsidR="00647C5F" w:rsidRPr="00085D17" w:rsidRDefault="00647C5F" w:rsidP="00085D17">
      <w:pPr>
        <w:jc w:val="both"/>
        <w:rPr>
          <w:rFonts w:ascii="Arial" w:hAnsi="Arial" w:cs="Arial"/>
          <w:b/>
          <w:lang w:val="es-ES"/>
        </w:rPr>
      </w:pPr>
    </w:p>
    <w:p w14:paraId="363AEEB9" w14:textId="77777777" w:rsidR="00647C5F" w:rsidRPr="00085D17" w:rsidRDefault="00647C5F" w:rsidP="00085D17">
      <w:pPr>
        <w:jc w:val="both"/>
        <w:rPr>
          <w:rFonts w:ascii="Arial" w:eastAsia="Times New Roman" w:hAnsi="Arial" w:cs="Arial"/>
          <w:lang w:eastAsia="es-ES_tradnl"/>
        </w:rPr>
      </w:pPr>
      <w:r w:rsidRPr="00085D17">
        <w:rPr>
          <w:rFonts w:ascii="Arial" w:eastAsia="Times New Roman" w:hAnsi="Arial" w:cs="Arial"/>
          <w:lang w:eastAsia="es-ES_tradnl"/>
        </w:rPr>
        <w:t>L</w:t>
      </w:r>
      <w:r w:rsidRPr="00647C5F">
        <w:rPr>
          <w:rFonts w:ascii="Arial" w:eastAsia="Times New Roman" w:hAnsi="Arial" w:cs="Arial"/>
          <w:lang w:eastAsia="es-ES_tradnl"/>
        </w:rPr>
        <w:t xml:space="preserve">a obligación de amparo de perjuicios patrimoniales establecida en el parágrafo del artículo 8° de la Ley 1796 de 2016 es de obligatorio cumplimiento por parte del constructor o enajenador de vivienda nueva para los proyectos de vivienda, en los cuales la licencia de construcción en la modalidad de obra nueva sea radicada en legal y debida forma, con posterioridad al 31 de diciembre de 2021. </w:t>
      </w:r>
    </w:p>
    <w:p w14:paraId="0DE5011B" w14:textId="77777777" w:rsidR="00647C5F" w:rsidRPr="00647C5F" w:rsidRDefault="00647C5F" w:rsidP="00085D17">
      <w:pPr>
        <w:jc w:val="both"/>
        <w:rPr>
          <w:rFonts w:ascii="Arial" w:eastAsia="Times New Roman" w:hAnsi="Arial" w:cs="Arial"/>
          <w:lang w:eastAsia="es-ES_tradnl"/>
        </w:rPr>
      </w:pPr>
    </w:p>
    <w:p w14:paraId="256830BE" w14:textId="77777777" w:rsidR="00647C5F" w:rsidRPr="00647C5F" w:rsidRDefault="00647C5F" w:rsidP="00085D17">
      <w:pPr>
        <w:jc w:val="both"/>
        <w:rPr>
          <w:rFonts w:ascii="Arial" w:eastAsia="Times New Roman" w:hAnsi="Arial" w:cs="Arial"/>
          <w:lang w:eastAsia="es-ES_tradnl"/>
        </w:rPr>
      </w:pPr>
      <w:r w:rsidRPr="00085D17">
        <w:rPr>
          <w:rFonts w:ascii="Arial" w:eastAsia="Times New Roman" w:hAnsi="Arial" w:cs="Arial"/>
          <w:lang w:eastAsia="es-ES_tradnl"/>
        </w:rPr>
        <w:t>P</w:t>
      </w:r>
      <w:r w:rsidRPr="00647C5F">
        <w:rPr>
          <w:rFonts w:ascii="Arial" w:eastAsia="Times New Roman" w:hAnsi="Arial" w:cs="Arial"/>
          <w:lang w:eastAsia="es-ES_tradnl"/>
        </w:rPr>
        <w:t>ara los proyectos ubicados en los municipios y distritos que conforman las aglomeraciones urbanas de Bogotá D.C. y de Medellín según lo definido en el anexo 1° del CON PES 3819 de 2014 y que se señalan a continuación, en los cuales la licencia de construcción en la modalidad de obra nueva sea o haya sido radicada en legal y debida forma, con posterioridad al 31 de diciembre de 2021 seguirá aplicando la obligatoriedad de contar con alguno de los mecanismos de amparo de lo</w:t>
      </w:r>
      <w:r w:rsidRPr="00085D17">
        <w:rPr>
          <w:rFonts w:ascii="Arial" w:eastAsia="Times New Roman" w:hAnsi="Arial" w:cs="Arial"/>
          <w:lang w:eastAsia="es-ES_tradnl"/>
        </w:rPr>
        <w:t xml:space="preserve">s que trata el </w:t>
      </w:r>
      <w:r w:rsidR="00085D17" w:rsidRPr="00085D17">
        <w:rPr>
          <w:rFonts w:ascii="Arial" w:eastAsia="Times New Roman" w:hAnsi="Arial" w:cs="Arial"/>
          <w:lang w:eastAsia="es-ES_tradnl"/>
        </w:rPr>
        <w:t>D</w:t>
      </w:r>
      <w:r w:rsidRPr="00085D17">
        <w:rPr>
          <w:rFonts w:ascii="Arial" w:eastAsia="Times New Roman" w:hAnsi="Arial" w:cs="Arial"/>
          <w:lang w:eastAsia="es-ES_tradnl"/>
        </w:rPr>
        <w:t>ecreto 1606 de 2022</w:t>
      </w:r>
      <w:r w:rsidRPr="00647C5F">
        <w:rPr>
          <w:rFonts w:ascii="Arial" w:eastAsia="Times New Roman" w:hAnsi="Arial" w:cs="Arial"/>
          <w:lang w:eastAsia="es-ES_tradnl"/>
        </w:rPr>
        <w:t>.</w:t>
      </w:r>
    </w:p>
    <w:p w14:paraId="2922AAE3" w14:textId="77777777" w:rsidR="00085D17" w:rsidRPr="00085D17" w:rsidRDefault="00085D17" w:rsidP="00085D17">
      <w:pPr>
        <w:jc w:val="both"/>
        <w:rPr>
          <w:rFonts w:ascii="Arial" w:eastAsia="Times New Roman" w:hAnsi="Arial" w:cs="Arial"/>
          <w:lang w:eastAsia="es-ES_tradnl"/>
        </w:rPr>
      </w:pPr>
      <w:r w:rsidRPr="00085D17">
        <w:rPr>
          <w:rFonts w:ascii="Arial" w:eastAsia="Times New Roman" w:hAnsi="Arial" w:cs="Arial"/>
          <w:lang w:eastAsia="es-ES_tradnl"/>
        </w:rPr>
        <w:t xml:space="preserve">l documento CONPES 3819 de 2014 se desarrolló la Política Nacional para consolidar el sistema de ciudades en Colombia, el cual al aplicar criterios de relaciones funcionales entre los municipios, tamaño poblacional, función político-administrativa de los municipios; e importancia estratégica de los municipios en las regiones, estableció dieciocho (18) aglomeraciones urbanas. </w:t>
      </w:r>
    </w:p>
    <w:p w14:paraId="32029358" w14:textId="77777777" w:rsidR="00085D17" w:rsidRPr="00085D17" w:rsidRDefault="00085D17" w:rsidP="00085D17">
      <w:pPr>
        <w:jc w:val="both"/>
        <w:rPr>
          <w:rFonts w:ascii="Arial" w:eastAsia="Times New Roman" w:hAnsi="Arial" w:cs="Arial"/>
          <w:lang w:eastAsia="es-ES_tradnl"/>
        </w:rPr>
      </w:pPr>
      <w:proofErr w:type="spellStart"/>
      <w:r w:rsidRPr="00085D17">
        <w:rPr>
          <w:rFonts w:ascii="Arial" w:eastAsia="Times New Roman" w:hAnsi="Arial" w:cs="Arial"/>
          <w:lang w:eastAsia="es-ES_tradnl"/>
        </w:rPr>
        <w:t>entificó</w:t>
      </w:r>
      <w:proofErr w:type="spellEnd"/>
      <w:r w:rsidRPr="00085D17">
        <w:rPr>
          <w:rFonts w:ascii="Arial" w:eastAsia="Times New Roman" w:hAnsi="Arial" w:cs="Arial"/>
          <w:lang w:eastAsia="es-ES_tradnl"/>
        </w:rPr>
        <w:t xml:space="preserve"> que en siete (7) de ellas en las que la población supera un millón (1.000.000) de habitantes, existe una mayor participación porcentual en la generación de </w:t>
      </w:r>
      <w:r w:rsidRPr="00085D17">
        <w:rPr>
          <w:rFonts w:ascii="Arial" w:eastAsia="Times New Roman" w:hAnsi="Arial" w:cs="Arial"/>
          <w:lang w:eastAsia="es-ES_tradnl"/>
        </w:rPr>
        <w:lastRenderedPageBreak/>
        <w:t xml:space="preserve">vivienda nueva, a saber: Bogotá D.C., Medellín, Cali, Barranquilla, Cartagena, Bucaramanga y Cúcuta. </w:t>
      </w:r>
    </w:p>
    <w:p w14:paraId="27DB5862" w14:textId="77777777" w:rsidR="00085D17" w:rsidRPr="00085D17" w:rsidRDefault="00085D17" w:rsidP="00085D17">
      <w:pPr>
        <w:jc w:val="both"/>
        <w:rPr>
          <w:rFonts w:ascii="Arial" w:eastAsia="Times New Roman" w:hAnsi="Arial" w:cs="Arial"/>
          <w:lang w:eastAsia="es-ES_tradnl"/>
        </w:rPr>
      </w:pPr>
      <w:r w:rsidRPr="00085D17">
        <w:rPr>
          <w:rFonts w:ascii="Arial" w:eastAsia="Times New Roman" w:hAnsi="Arial" w:cs="Arial"/>
          <w:lang w:eastAsia="es-ES_tradnl"/>
        </w:rPr>
        <w:t xml:space="preserve">Parágrafo. Lo previsto en el presente capítulo será de obligatorio cumplimiento por parte del constructor o enajenador de vivienda nueva para los proyectos de vivienda, de acuerdo con el siguiente régimen de transición: 1606 </w:t>
      </w:r>
    </w:p>
    <w:p w14:paraId="24DA7109" w14:textId="77777777" w:rsidR="00085D17" w:rsidRPr="00085D17" w:rsidRDefault="00085D17" w:rsidP="00085D17">
      <w:pPr>
        <w:jc w:val="both"/>
        <w:rPr>
          <w:rFonts w:ascii="Arial" w:eastAsia="Times New Roman" w:hAnsi="Arial" w:cs="Arial"/>
          <w:lang w:eastAsia="es-ES_tradnl"/>
        </w:rPr>
      </w:pPr>
    </w:p>
    <w:p w14:paraId="6B2F1A0B" w14:textId="77777777" w:rsidR="00085D17" w:rsidRPr="00085D17" w:rsidRDefault="00085D17" w:rsidP="00085D17">
      <w:pPr>
        <w:jc w:val="both"/>
        <w:rPr>
          <w:rFonts w:ascii="Arial" w:eastAsia="Times New Roman" w:hAnsi="Arial" w:cs="Arial"/>
          <w:lang w:eastAsia="es-ES_tradnl"/>
        </w:rPr>
      </w:pPr>
      <w:r w:rsidRPr="00085D17">
        <w:rPr>
          <w:rFonts w:ascii="Arial" w:eastAsia="Times New Roman" w:hAnsi="Arial" w:cs="Arial"/>
          <w:lang w:eastAsia="es-ES_tradnl"/>
        </w:rPr>
        <w:t xml:space="preserve">1. Para los proyectos ubicados en los municipios y distritos que conforman las aglomeraciones urbanas de Bogotá D.C. y de Medellín según lo definido en el anexo 1° del CON PES 3819 de 2014 y que se señalan a continuación, en los cuales la licencia de construcción en la modalidad de obra nueva sea o haya sido radicada en legal y debida forma, con posterioridad al 31 de diciembre de 2021 seguirá aplicando la obligatoriedad de contar con alguno de los mecanismos de amparo de los que trata el presente Capítulo. Los municipios que conforman las mencionadas aglomeraciones corresponden a Bogotá D.C., a los municipios de </w:t>
      </w:r>
      <w:proofErr w:type="spellStart"/>
      <w:r w:rsidRPr="00085D17">
        <w:rPr>
          <w:rFonts w:ascii="Arial" w:eastAsia="Times New Roman" w:hAnsi="Arial" w:cs="Arial"/>
          <w:lang w:eastAsia="es-ES_tradnl"/>
        </w:rPr>
        <w:t>Bojacá</w:t>
      </w:r>
      <w:proofErr w:type="spellEnd"/>
      <w:r w:rsidRPr="00085D17">
        <w:rPr>
          <w:rFonts w:ascii="Arial" w:eastAsia="Times New Roman" w:hAnsi="Arial" w:cs="Arial"/>
          <w:lang w:eastAsia="es-ES_tradnl"/>
        </w:rPr>
        <w:t xml:space="preserve">, Cajicá, Chía, </w:t>
      </w:r>
      <w:proofErr w:type="spellStart"/>
      <w:r w:rsidRPr="00085D17">
        <w:rPr>
          <w:rFonts w:ascii="Arial" w:eastAsia="Times New Roman" w:hAnsi="Arial" w:cs="Arial"/>
          <w:lang w:eastAsia="es-ES_tradnl"/>
        </w:rPr>
        <w:t>Cogua</w:t>
      </w:r>
      <w:proofErr w:type="spellEnd"/>
      <w:r w:rsidRPr="00085D17">
        <w:rPr>
          <w:rFonts w:ascii="Arial" w:eastAsia="Times New Roman" w:hAnsi="Arial" w:cs="Arial"/>
          <w:lang w:eastAsia="es-ES_tradnl"/>
        </w:rPr>
        <w:t xml:space="preserve">, Cota, Facatativá, Funza, </w:t>
      </w:r>
      <w:proofErr w:type="spellStart"/>
      <w:r w:rsidRPr="00085D17">
        <w:rPr>
          <w:rFonts w:ascii="Arial" w:eastAsia="Times New Roman" w:hAnsi="Arial" w:cs="Arial"/>
          <w:lang w:eastAsia="es-ES_tradnl"/>
        </w:rPr>
        <w:t>Gachancipá</w:t>
      </w:r>
      <w:proofErr w:type="spellEnd"/>
      <w:r w:rsidRPr="00085D17">
        <w:rPr>
          <w:rFonts w:ascii="Arial" w:eastAsia="Times New Roman" w:hAnsi="Arial" w:cs="Arial"/>
          <w:lang w:eastAsia="es-ES_tradnl"/>
        </w:rPr>
        <w:t xml:space="preserve">, </w:t>
      </w:r>
      <w:proofErr w:type="spellStart"/>
      <w:r w:rsidRPr="00085D17">
        <w:rPr>
          <w:rFonts w:ascii="Arial" w:eastAsia="Times New Roman" w:hAnsi="Arial" w:cs="Arial"/>
          <w:lang w:eastAsia="es-ES_tradnl"/>
        </w:rPr>
        <w:t>Guatavita</w:t>
      </w:r>
      <w:proofErr w:type="spellEnd"/>
      <w:r w:rsidRPr="00085D17">
        <w:rPr>
          <w:rFonts w:ascii="Arial" w:eastAsia="Times New Roman" w:hAnsi="Arial" w:cs="Arial"/>
          <w:lang w:eastAsia="es-ES_tradnl"/>
        </w:rPr>
        <w:t xml:space="preserve">, La Calera, Madrid, Mosquera, </w:t>
      </w:r>
      <w:proofErr w:type="spellStart"/>
      <w:r w:rsidRPr="00085D17">
        <w:rPr>
          <w:rFonts w:ascii="Arial" w:eastAsia="Times New Roman" w:hAnsi="Arial" w:cs="Arial"/>
          <w:lang w:eastAsia="es-ES_tradnl"/>
        </w:rPr>
        <w:t>Nemocón</w:t>
      </w:r>
      <w:proofErr w:type="spellEnd"/>
      <w:r w:rsidRPr="00085D17">
        <w:rPr>
          <w:rFonts w:ascii="Arial" w:eastAsia="Times New Roman" w:hAnsi="Arial" w:cs="Arial"/>
          <w:lang w:eastAsia="es-ES_tradnl"/>
        </w:rPr>
        <w:t xml:space="preserve">, </w:t>
      </w:r>
      <w:proofErr w:type="spellStart"/>
      <w:r w:rsidRPr="00085D17">
        <w:rPr>
          <w:rFonts w:ascii="Arial" w:eastAsia="Times New Roman" w:hAnsi="Arial" w:cs="Arial"/>
          <w:lang w:eastAsia="es-ES_tradnl"/>
        </w:rPr>
        <w:t>Sesquilé</w:t>
      </w:r>
      <w:proofErr w:type="spellEnd"/>
      <w:r w:rsidRPr="00085D17">
        <w:rPr>
          <w:rFonts w:ascii="Arial" w:eastAsia="Times New Roman" w:hAnsi="Arial" w:cs="Arial"/>
          <w:lang w:eastAsia="es-ES_tradnl"/>
        </w:rPr>
        <w:t xml:space="preserve">, </w:t>
      </w:r>
      <w:proofErr w:type="spellStart"/>
      <w:r w:rsidRPr="00085D17">
        <w:rPr>
          <w:rFonts w:ascii="Arial" w:eastAsia="Times New Roman" w:hAnsi="Arial" w:cs="Arial"/>
          <w:lang w:eastAsia="es-ES_tradnl"/>
        </w:rPr>
        <w:t>Sibaté</w:t>
      </w:r>
      <w:proofErr w:type="spellEnd"/>
      <w:r w:rsidRPr="00085D17">
        <w:rPr>
          <w:rFonts w:ascii="Arial" w:eastAsia="Times New Roman" w:hAnsi="Arial" w:cs="Arial"/>
          <w:lang w:eastAsia="es-ES_tradnl"/>
        </w:rPr>
        <w:t xml:space="preserve">, Soacha, Sopó, </w:t>
      </w:r>
      <w:proofErr w:type="spellStart"/>
      <w:r w:rsidRPr="00085D17">
        <w:rPr>
          <w:rFonts w:ascii="Arial" w:eastAsia="Times New Roman" w:hAnsi="Arial" w:cs="Arial"/>
          <w:lang w:eastAsia="es-ES_tradnl"/>
        </w:rPr>
        <w:t>Sutatausa</w:t>
      </w:r>
      <w:proofErr w:type="spellEnd"/>
      <w:r w:rsidRPr="00085D17">
        <w:rPr>
          <w:rFonts w:ascii="Arial" w:eastAsia="Times New Roman" w:hAnsi="Arial" w:cs="Arial"/>
          <w:lang w:eastAsia="es-ES_tradnl"/>
        </w:rPr>
        <w:t xml:space="preserve">, </w:t>
      </w:r>
      <w:proofErr w:type="spellStart"/>
      <w:r w:rsidRPr="00085D17">
        <w:rPr>
          <w:rFonts w:ascii="Arial" w:eastAsia="Times New Roman" w:hAnsi="Arial" w:cs="Arial"/>
          <w:lang w:eastAsia="es-ES_tradnl"/>
        </w:rPr>
        <w:t>Tabio</w:t>
      </w:r>
      <w:proofErr w:type="spellEnd"/>
      <w:r w:rsidRPr="00085D17">
        <w:rPr>
          <w:rFonts w:ascii="Arial" w:eastAsia="Times New Roman" w:hAnsi="Arial" w:cs="Arial"/>
          <w:lang w:eastAsia="es-ES_tradnl"/>
        </w:rPr>
        <w:t xml:space="preserve">, </w:t>
      </w:r>
      <w:proofErr w:type="spellStart"/>
      <w:r w:rsidRPr="00085D17">
        <w:rPr>
          <w:rFonts w:ascii="Arial" w:eastAsia="Times New Roman" w:hAnsi="Arial" w:cs="Arial"/>
          <w:lang w:eastAsia="es-ES_tradnl"/>
        </w:rPr>
        <w:t>Tausa</w:t>
      </w:r>
      <w:proofErr w:type="spellEnd"/>
      <w:r w:rsidRPr="00085D17">
        <w:rPr>
          <w:rFonts w:ascii="Arial" w:eastAsia="Times New Roman" w:hAnsi="Arial" w:cs="Arial"/>
          <w:lang w:eastAsia="es-ES_tradnl"/>
        </w:rPr>
        <w:t xml:space="preserve">, </w:t>
      </w:r>
      <w:proofErr w:type="spellStart"/>
      <w:r w:rsidRPr="00085D17">
        <w:rPr>
          <w:rFonts w:ascii="Arial" w:eastAsia="Times New Roman" w:hAnsi="Arial" w:cs="Arial"/>
          <w:lang w:eastAsia="es-ES_tradnl"/>
        </w:rPr>
        <w:t>Tocancipá</w:t>
      </w:r>
      <w:proofErr w:type="spellEnd"/>
      <w:r w:rsidRPr="00085D17">
        <w:rPr>
          <w:rFonts w:ascii="Arial" w:eastAsia="Times New Roman" w:hAnsi="Arial" w:cs="Arial"/>
          <w:lang w:eastAsia="es-ES_tradnl"/>
        </w:rPr>
        <w:t xml:space="preserve"> y Zipaquirá del Departamento de Cundinamarca, y a Medellín, Barbosa, Bello, Caldas, Copacabana, Envigado, Girardota, Itagüí, La Estrella y Sabaneta del </w:t>
      </w:r>
      <w:bookmarkEnd w:id="0"/>
      <w:r w:rsidRPr="00085D17">
        <w:rPr>
          <w:rFonts w:ascii="Arial" w:eastAsia="Times New Roman" w:hAnsi="Arial" w:cs="Arial"/>
          <w:lang w:eastAsia="es-ES_tradnl"/>
        </w:rPr>
        <w:t>departamento de Antioquia.</w:t>
      </w:r>
    </w:p>
    <w:p w14:paraId="0907058C" w14:textId="77777777" w:rsidR="00085D17" w:rsidRPr="00085D17" w:rsidRDefault="00085D17" w:rsidP="00085D17">
      <w:pPr>
        <w:jc w:val="both"/>
        <w:rPr>
          <w:rFonts w:ascii="Arial" w:eastAsia="Times New Roman" w:hAnsi="Arial" w:cs="Arial"/>
          <w:lang w:eastAsia="es-ES_tradnl"/>
        </w:rPr>
      </w:pPr>
      <w:r w:rsidRPr="00085D17">
        <w:rPr>
          <w:rFonts w:ascii="Arial" w:eastAsia="Times New Roman" w:hAnsi="Arial" w:cs="Arial"/>
          <w:lang w:eastAsia="es-ES_tradnl"/>
        </w:rPr>
        <w:t>. 4. Las disposiciones del presente capítulo serán de aplicación voluntaria por parte del constructor o enajenador de vivienda nueva para los proyectos de vivienda, que radiquen en legal y debida forma la licencia de construcción en la modalidad de obra nueva en los municipios y distritos de que tratan los numerales 2° y 3° anteriores, antes de la fecha prevista para la aplicación en cada uno de ellos. Parágrafo transitorio. Los mecanismos de amparo de perjuicios patrimoniales constituidos con anterioridad a la entrada en vigencia del presente decreto en municipios o distritos cuya entrada en vigencia se encuentre señalada en los numerales 2. o 3. del 1606.</w:t>
      </w:r>
    </w:p>
    <w:p w14:paraId="6D6C6E8C" w14:textId="77777777" w:rsidR="00647C5F" w:rsidRPr="00647C5F" w:rsidRDefault="00647C5F">
      <w:pPr>
        <w:rPr>
          <w:b/>
          <w:lang w:val="es-ES"/>
        </w:rPr>
      </w:pPr>
    </w:p>
    <w:sectPr w:rsidR="00647C5F" w:rsidRPr="00647C5F" w:rsidSect="00F9462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2"/>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C5F"/>
    <w:rsid w:val="00085D17"/>
    <w:rsid w:val="00647C5F"/>
    <w:rsid w:val="006E22E0"/>
    <w:rsid w:val="00EE75D2"/>
    <w:rsid w:val="00F9462F"/>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2166A90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217">
      <w:bodyDiv w:val="1"/>
      <w:marLeft w:val="0"/>
      <w:marRight w:val="0"/>
      <w:marTop w:val="0"/>
      <w:marBottom w:val="0"/>
      <w:divBdr>
        <w:top w:val="none" w:sz="0" w:space="0" w:color="auto"/>
        <w:left w:val="none" w:sz="0" w:space="0" w:color="auto"/>
        <w:bottom w:val="none" w:sz="0" w:space="0" w:color="auto"/>
        <w:right w:val="none" w:sz="0" w:space="0" w:color="auto"/>
      </w:divBdr>
    </w:div>
    <w:div w:id="341469350">
      <w:bodyDiv w:val="1"/>
      <w:marLeft w:val="0"/>
      <w:marRight w:val="0"/>
      <w:marTop w:val="0"/>
      <w:marBottom w:val="0"/>
      <w:divBdr>
        <w:top w:val="none" w:sz="0" w:space="0" w:color="auto"/>
        <w:left w:val="none" w:sz="0" w:space="0" w:color="auto"/>
        <w:bottom w:val="none" w:sz="0" w:space="0" w:color="auto"/>
        <w:right w:val="none" w:sz="0" w:space="0" w:color="auto"/>
      </w:divBdr>
    </w:div>
    <w:div w:id="425808845">
      <w:bodyDiv w:val="1"/>
      <w:marLeft w:val="0"/>
      <w:marRight w:val="0"/>
      <w:marTop w:val="0"/>
      <w:marBottom w:val="0"/>
      <w:divBdr>
        <w:top w:val="none" w:sz="0" w:space="0" w:color="auto"/>
        <w:left w:val="none" w:sz="0" w:space="0" w:color="auto"/>
        <w:bottom w:val="none" w:sz="0" w:space="0" w:color="auto"/>
        <w:right w:val="none" w:sz="0" w:space="0" w:color="auto"/>
      </w:divBdr>
    </w:div>
    <w:div w:id="465436905">
      <w:bodyDiv w:val="1"/>
      <w:marLeft w:val="0"/>
      <w:marRight w:val="0"/>
      <w:marTop w:val="0"/>
      <w:marBottom w:val="0"/>
      <w:divBdr>
        <w:top w:val="none" w:sz="0" w:space="0" w:color="auto"/>
        <w:left w:val="none" w:sz="0" w:space="0" w:color="auto"/>
        <w:bottom w:val="none" w:sz="0" w:space="0" w:color="auto"/>
        <w:right w:val="none" w:sz="0" w:space="0" w:color="auto"/>
      </w:divBdr>
    </w:div>
    <w:div w:id="521361531">
      <w:bodyDiv w:val="1"/>
      <w:marLeft w:val="0"/>
      <w:marRight w:val="0"/>
      <w:marTop w:val="0"/>
      <w:marBottom w:val="0"/>
      <w:divBdr>
        <w:top w:val="none" w:sz="0" w:space="0" w:color="auto"/>
        <w:left w:val="none" w:sz="0" w:space="0" w:color="auto"/>
        <w:bottom w:val="none" w:sz="0" w:space="0" w:color="auto"/>
        <w:right w:val="none" w:sz="0" w:space="0" w:color="auto"/>
      </w:divBdr>
    </w:div>
    <w:div w:id="946891411">
      <w:bodyDiv w:val="1"/>
      <w:marLeft w:val="0"/>
      <w:marRight w:val="0"/>
      <w:marTop w:val="0"/>
      <w:marBottom w:val="0"/>
      <w:divBdr>
        <w:top w:val="none" w:sz="0" w:space="0" w:color="auto"/>
        <w:left w:val="none" w:sz="0" w:space="0" w:color="auto"/>
        <w:bottom w:val="none" w:sz="0" w:space="0" w:color="auto"/>
        <w:right w:val="none" w:sz="0" w:space="0" w:color="auto"/>
      </w:divBdr>
    </w:div>
    <w:div w:id="1237011799">
      <w:bodyDiv w:val="1"/>
      <w:marLeft w:val="0"/>
      <w:marRight w:val="0"/>
      <w:marTop w:val="0"/>
      <w:marBottom w:val="0"/>
      <w:divBdr>
        <w:top w:val="none" w:sz="0" w:space="0" w:color="auto"/>
        <w:left w:val="none" w:sz="0" w:space="0" w:color="auto"/>
        <w:bottom w:val="none" w:sz="0" w:space="0" w:color="auto"/>
        <w:right w:val="none" w:sz="0" w:space="0" w:color="auto"/>
      </w:divBdr>
    </w:div>
    <w:div w:id="1945070956">
      <w:bodyDiv w:val="1"/>
      <w:marLeft w:val="0"/>
      <w:marRight w:val="0"/>
      <w:marTop w:val="0"/>
      <w:marBottom w:val="0"/>
      <w:divBdr>
        <w:top w:val="none" w:sz="0" w:space="0" w:color="auto"/>
        <w:left w:val="none" w:sz="0" w:space="0" w:color="auto"/>
        <w:bottom w:val="none" w:sz="0" w:space="0" w:color="auto"/>
        <w:right w:val="none" w:sz="0" w:space="0" w:color="auto"/>
      </w:divBdr>
    </w:div>
    <w:div w:id="208287055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776</Words>
  <Characters>4269</Characters>
  <Application>Microsoft Macintosh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5035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1</cp:revision>
  <dcterms:created xsi:type="dcterms:W3CDTF">2022-08-29T18:27:00Z</dcterms:created>
  <dcterms:modified xsi:type="dcterms:W3CDTF">2022-08-29T18:54:00Z</dcterms:modified>
</cp:coreProperties>
</file>